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360" w:after="240" w:line="480" w:lineRule="auto"/>
        <w:rPr>
          <w:color w:val="000000"/>
          <w:sz w:val="40"/>
          <w:szCs w:val="32"/>
        </w:rPr>
      </w:pPr>
    </w:p>
    <w:p>
      <w:pPr>
        <w:spacing w:before="360" w:after="240" w:line="480" w:lineRule="auto"/>
        <w:jc w:val="center"/>
        <w:rPr>
          <w:color w:val="000000"/>
          <w:sz w:val="40"/>
          <w:szCs w:val="32"/>
        </w:rPr>
      </w:pPr>
    </w:p>
    <w:p>
      <w:pPr>
        <w:spacing w:before="360" w:after="240" w:line="480" w:lineRule="auto"/>
        <w:jc w:val="center"/>
        <w:rPr>
          <w:color w:val="000000"/>
          <w:sz w:val="40"/>
          <w:szCs w:val="32"/>
        </w:rPr>
      </w:pPr>
    </w:p>
    <w:p>
      <w:pPr>
        <w:spacing w:line="600" w:lineRule="exact"/>
        <w:jc w:val="center"/>
        <w:rPr>
          <w:rFonts w:hint="eastAsia" w:eastAsia="黑体"/>
          <w:b/>
          <w:sz w:val="48"/>
          <w:szCs w:val="44"/>
          <w:lang w:val="en-US" w:eastAsia="zh-CN" w:bidi="en-US"/>
        </w:rPr>
      </w:pPr>
      <w:r>
        <w:rPr>
          <w:rFonts w:hint="eastAsia" w:eastAsia="黑体"/>
          <w:b/>
          <w:sz w:val="48"/>
          <w:szCs w:val="44"/>
          <w:lang w:val="en-US" w:eastAsia="zh-CN" w:bidi="en-US"/>
        </w:rPr>
        <w:t>甘肃省人民代表大会常务委员会办公厅</w:t>
      </w:r>
    </w:p>
    <w:p>
      <w:pPr>
        <w:spacing w:line="600" w:lineRule="exact"/>
        <w:jc w:val="center"/>
        <w:rPr>
          <w:rFonts w:hint="eastAsia" w:eastAsia="黑体"/>
          <w:b/>
          <w:sz w:val="48"/>
          <w:szCs w:val="44"/>
          <w:lang w:eastAsia="zh-CN"/>
        </w:rPr>
      </w:pPr>
      <w:r>
        <w:rPr>
          <w:rFonts w:eastAsia="黑体"/>
          <w:b/>
          <w:sz w:val="48"/>
          <w:szCs w:val="44"/>
          <w:lang w:bidi="en-US"/>
        </w:rPr>
        <w:t>项目绩效评价</w:t>
      </w:r>
      <w:r>
        <w:rPr>
          <w:rFonts w:hint="eastAsia" w:eastAsia="黑体"/>
          <w:b/>
          <w:sz w:val="48"/>
          <w:szCs w:val="44"/>
          <w:lang w:val="en-US" w:eastAsia="zh-CN"/>
        </w:rPr>
        <w:t>报告</w:t>
      </w:r>
    </w:p>
    <w:p>
      <w:pPr>
        <w:rPr>
          <w:rFonts w:eastAsia="黑体"/>
        </w:rPr>
      </w:pPr>
    </w:p>
    <w:p>
      <w:pPr>
        <w:rPr>
          <w:rFonts w:eastAsia="黑体"/>
        </w:rPr>
      </w:pPr>
    </w:p>
    <w:p>
      <w:pPr>
        <w:rPr>
          <w:rFonts w:eastAsia="黑体"/>
        </w:rPr>
      </w:pPr>
    </w:p>
    <w:p>
      <w:pPr>
        <w:rPr>
          <w:rFonts w:eastAsia="黑体"/>
        </w:rPr>
      </w:pPr>
    </w:p>
    <w:p>
      <w:pPr>
        <w:spacing w:before="120" w:line="360" w:lineRule="auto"/>
        <w:rPr>
          <w:rFonts w:eastAsia="黑体"/>
          <w:b/>
          <w:color w:val="000000"/>
          <w:sz w:val="25"/>
          <w:szCs w:val="25"/>
        </w:rPr>
      </w:pPr>
    </w:p>
    <w:p>
      <w:pPr>
        <w:spacing w:before="120" w:line="360" w:lineRule="auto"/>
        <w:rPr>
          <w:rFonts w:eastAsia="黑体"/>
          <w:b/>
          <w:color w:val="000000"/>
          <w:sz w:val="25"/>
          <w:szCs w:val="25"/>
        </w:rPr>
      </w:pPr>
    </w:p>
    <w:p>
      <w:pPr>
        <w:spacing w:before="120" w:line="360" w:lineRule="auto"/>
        <w:rPr>
          <w:rFonts w:eastAsia="黑体"/>
          <w:b/>
          <w:color w:val="000000"/>
          <w:sz w:val="25"/>
          <w:szCs w:val="25"/>
        </w:rPr>
      </w:pPr>
    </w:p>
    <w:p>
      <w:pPr>
        <w:spacing w:before="120" w:line="360" w:lineRule="auto"/>
        <w:rPr>
          <w:rFonts w:eastAsia="黑体"/>
          <w:b/>
          <w:color w:val="000000"/>
          <w:sz w:val="28"/>
          <w:szCs w:val="28"/>
        </w:rPr>
      </w:pPr>
    </w:p>
    <w:p>
      <w:pPr>
        <w:spacing w:before="120" w:line="500" w:lineRule="exact"/>
        <w:ind w:firstLine="1120" w:firstLineChars="400"/>
        <w:jc w:val="left"/>
        <w:rPr>
          <w:rFonts w:hint="default" w:eastAsia="黑体"/>
          <w:bCs/>
          <w:color w:val="000000"/>
          <w:sz w:val="28"/>
          <w:szCs w:val="28"/>
          <w:lang w:val="en-US" w:eastAsia="zh-CN"/>
        </w:rPr>
      </w:pPr>
      <w:r>
        <w:rPr>
          <w:rFonts w:eastAsia="黑体"/>
          <w:bCs/>
          <w:color w:val="000000"/>
          <w:sz w:val="28"/>
          <w:szCs w:val="28"/>
        </w:rPr>
        <w:t>项目名称：</w:t>
      </w:r>
      <w:r>
        <w:rPr>
          <w:rFonts w:hint="eastAsia" w:eastAsia="黑体"/>
          <w:bCs/>
          <w:color w:val="000000"/>
          <w:sz w:val="28"/>
          <w:szCs w:val="28"/>
          <w:lang w:val="en-US" w:eastAsia="zh-CN"/>
        </w:rPr>
        <w:t>立法经费</w:t>
      </w:r>
    </w:p>
    <w:p>
      <w:pPr>
        <w:spacing w:before="120" w:line="500" w:lineRule="exact"/>
        <w:ind w:left="2517" w:leftChars="532" w:hanging="1400" w:hangingChars="500"/>
        <w:jc w:val="left"/>
        <w:rPr>
          <w:rFonts w:hint="default" w:eastAsia="黑体"/>
          <w:bCs/>
          <w:color w:val="000000"/>
          <w:sz w:val="28"/>
          <w:szCs w:val="28"/>
          <w:lang w:val="en-US" w:eastAsia="zh-CN"/>
        </w:rPr>
      </w:pPr>
      <w:r>
        <w:rPr>
          <w:rFonts w:eastAsia="黑体"/>
          <w:bCs/>
          <w:color w:val="000000"/>
          <w:sz w:val="28"/>
          <w:szCs w:val="28"/>
        </w:rPr>
        <w:t>项目单位：</w:t>
      </w:r>
      <w:r>
        <w:rPr>
          <w:rFonts w:hint="eastAsia" w:eastAsia="黑体"/>
          <w:bCs/>
          <w:color w:val="000000"/>
          <w:sz w:val="28"/>
          <w:szCs w:val="28"/>
          <w:lang w:val="en-US" w:eastAsia="zh-CN"/>
        </w:rPr>
        <w:t>甘肃省人民代表大会常务委员会办公厅</w:t>
      </w:r>
    </w:p>
    <w:p>
      <w:pPr>
        <w:spacing w:before="120" w:line="500" w:lineRule="exact"/>
        <w:ind w:firstLine="1120" w:firstLineChars="400"/>
        <w:jc w:val="left"/>
        <w:rPr>
          <w:rFonts w:eastAsia="黑体"/>
          <w:bCs/>
          <w:color w:val="000000"/>
          <w:sz w:val="28"/>
          <w:szCs w:val="28"/>
        </w:rPr>
      </w:pPr>
      <w:r>
        <w:rPr>
          <w:rFonts w:eastAsia="黑体"/>
          <w:bCs/>
          <w:color w:val="000000"/>
          <w:sz w:val="28"/>
          <w:szCs w:val="28"/>
        </w:rPr>
        <w:t>委托单位：</w:t>
      </w:r>
      <w:r>
        <w:rPr>
          <w:rFonts w:hint="eastAsia" w:eastAsia="黑体"/>
          <w:bCs/>
          <w:color w:val="000000"/>
          <w:sz w:val="28"/>
          <w:szCs w:val="28"/>
          <w:lang w:val="en-US" w:eastAsia="zh-CN"/>
        </w:rPr>
        <w:t>甘肃省人民代表大会常务委员会办公厅</w:t>
      </w:r>
    </w:p>
    <w:p>
      <w:pPr>
        <w:spacing w:before="120" w:line="500" w:lineRule="exact"/>
        <w:ind w:firstLine="1120" w:firstLineChars="400"/>
        <w:jc w:val="left"/>
        <w:rPr>
          <w:rFonts w:hint="default" w:eastAsia="黑体"/>
          <w:bCs/>
          <w:color w:val="000000"/>
          <w:sz w:val="28"/>
          <w:szCs w:val="28"/>
          <w:lang w:val="en-US" w:eastAsia="zh-CN"/>
        </w:rPr>
      </w:pPr>
      <w:r>
        <w:rPr>
          <w:rFonts w:eastAsia="黑体"/>
          <w:bCs/>
          <w:color w:val="000000"/>
          <w:sz w:val="28"/>
          <w:szCs w:val="28"/>
        </w:rPr>
        <w:t>评价机构：</w:t>
      </w:r>
      <w:r>
        <w:rPr>
          <w:rFonts w:hint="eastAsia" w:eastAsia="黑体"/>
          <w:bCs/>
          <w:color w:val="000000"/>
          <w:sz w:val="28"/>
          <w:szCs w:val="28"/>
          <w:lang w:val="en-US" w:eastAsia="zh-CN"/>
        </w:rPr>
        <w:t>甘肃中软信通信息技术有限公司</w:t>
      </w:r>
    </w:p>
    <w:p>
      <w:pPr>
        <w:spacing w:before="120" w:line="500" w:lineRule="exact"/>
        <w:ind w:firstLine="1124" w:firstLineChars="400"/>
        <w:rPr>
          <w:rFonts w:eastAsia="黑体"/>
          <w:b/>
          <w:color w:val="000000"/>
          <w:sz w:val="28"/>
          <w:szCs w:val="28"/>
        </w:rPr>
      </w:pPr>
    </w:p>
    <w:p>
      <w:pPr>
        <w:spacing w:before="120" w:line="500" w:lineRule="exact"/>
        <w:ind w:firstLine="1124" w:firstLineChars="400"/>
        <w:rPr>
          <w:rFonts w:eastAsia="黑体"/>
          <w:b/>
          <w:color w:val="000000"/>
          <w:sz w:val="28"/>
          <w:szCs w:val="28"/>
        </w:rPr>
      </w:pPr>
    </w:p>
    <w:p>
      <w:pPr>
        <w:spacing w:before="120" w:line="500" w:lineRule="exact"/>
        <w:ind w:firstLine="1124" w:firstLineChars="400"/>
        <w:rPr>
          <w:rFonts w:eastAsia="黑体"/>
          <w:b/>
          <w:color w:val="000000"/>
          <w:sz w:val="28"/>
          <w:szCs w:val="28"/>
        </w:rPr>
      </w:pPr>
    </w:p>
    <w:p>
      <w:pPr>
        <w:spacing w:before="120" w:line="500" w:lineRule="exact"/>
        <w:ind w:firstLine="1124" w:firstLineChars="400"/>
        <w:rPr>
          <w:rFonts w:eastAsia="黑体"/>
          <w:b/>
          <w:color w:val="000000"/>
          <w:sz w:val="28"/>
          <w:szCs w:val="28"/>
        </w:rPr>
      </w:pPr>
    </w:p>
    <w:p>
      <w:pPr>
        <w:jc w:val="center"/>
        <w:rPr>
          <w:rFonts w:eastAsia="黑体"/>
          <w:b/>
          <w:color w:val="000000"/>
          <w:sz w:val="36"/>
          <w:szCs w:val="36"/>
          <w:lang w:val="zh-CN"/>
        </w:rPr>
        <w:sectPr>
          <w:footerReference r:id="rId3" w:type="default"/>
          <w:footnotePr>
            <w:numRestart w:val="eachPage"/>
          </w:footnotePr>
          <w:pgSz w:w="11906" w:h="16838"/>
          <w:pgMar w:top="1440" w:right="1800" w:bottom="1440" w:left="1800" w:header="851" w:footer="992" w:gutter="0"/>
          <w:pgNumType w:fmt="upperRoman" w:start="1"/>
          <w:cols w:space="720" w:num="1"/>
          <w:docGrid w:type="lines" w:linePitch="312" w:charSpace="0"/>
        </w:sectPr>
      </w:pPr>
      <w:r>
        <w:rPr>
          <w:rFonts w:eastAsia="黑体"/>
          <w:b/>
          <w:color w:val="000000"/>
          <w:sz w:val="28"/>
          <w:szCs w:val="28"/>
        </w:rPr>
        <w:t>20</w:t>
      </w:r>
      <w:r>
        <w:rPr>
          <w:rFonts w:hint="eastAsia" w:eastAsia="黑体"/>
          <w:b/>
          <w:color w:val="000000"/>
          <w:sz w:val="28"/>
          <w:szCs w:val="28"/>
          <w:lang w:val="en-US" w:eastAsia="zh-CN"/>
        </w:rPr>
        <w:t>20</w:t>
      </w:r>
      <w:r>
        <w:rPr>
          <w:rFonts w:eastAsia="黑体"/>
          <w:b/>
          <w:color w:val="000000"/>
          <w:sz w:val="28"/>
          <w:szCs w:val="28"/>
        </w:rPr>
        <w:t>年</w:t>
      </w:r>
      <w:r>
        <w:rPr>
          <w:rFonts w:hint="eastAsia" w:eastAsia="黑体"/>
          <w:b/>
          <w:color w:val="000000"/>
          <w:sz w:val="28"/>
          <w:szCs w:val="28"/>
          <w:lang w:val="en-US" w:eastAsia="zh-CN"/>
        </w:rPr>
        <w:t>7</w:t>
      </w:r>
      <w:r>
        <w:rPr>
          <w:rFonts w:eastAsia="黑体"/>
          <w:b/>
          <w:color w:val="000000"/>
          <w:sz w:val="28"/>
          <w:szCs w:val="28"/>
        </w:rPr>
        <w:t>月</w:t>
      </w:r>
    </w:p>
    <w:sdt>
      <w:sdtPr>
        <w:rPr>
          <w:rFonts w:hint="eastAsia" w:eastAsia="黑体"/>
          <w:bCs/>
          <w:color w:val="000000"/>
          <w:sz w:val="28"/>
          <w:szCs w:val="28"/>
          <w:lang w:val="en-US" w:eastAsia="zh-CN"/>
        </w:rPr>
        <w:id w:val="147480467"/>
        <w15:color w:val="DBDBDB"/>
      </w:sdtPr>
      <w:sdtEndPr>
        <w:rPr>
          <w:rFonts w:hint="eastAsia" w:eastAsia="黑体"/>
          <w:b/>
          <w:bCs/>
          <w:color w:val="000000"/>
          <w:sz w:val="28"/>
          <w:szCs w:val="28"/>
          <w:lang w:val="en-US" w:eastAsia="zh-CN"/>
        </w:rPr>
      </w:sdtEndPr>
      <w:sdtContent>
        <w:p>
          <w:pPr>
            <w:spacing w:before="120" w:line="500" w:lineRule="exact"/>
            <w:ind w:firstLine="1120" w:firstLineChars="400"/>
            <w:jc w:val="center"/>
            <w:rPr>
              <w:rFonts w:hint="eastAsia" w:eastAsia="黑体"/>
              <w:bCs/>
              <w:color w:val="000000"/>
              <w:sz w:val="28"/>
              <w:szCs w:val="28"/>
              <w:lang w:val="en-US" w:eastAsia="zh-CN"/>
            </w:rPr>
          </w:pPr>
          <w:bookmarkStart w:id="0" w:name="_Toc6828"/>
          <w:bookmarkStart w:id="1" w:name="_Toc1383"/>
          <w:bookmarkStart w:id="2" w:name="_Toc1373"/>
          <w:r>
            <w:rPr>
              <w:rFonts w:hint="eastAsia" w:eastAsia="黑体"/>
              <w:bCs/>
              <w:color w:val="000000"/>
              <w:sz w:val="28"/>
              <w:szCs w:val="28"/>
              <w:lang w:val="en-US" w:eastAsia="zh-CN"/>
            </w:rPr>
            <w:t>目录</w:t>
          </w:r>
        </w:p>
        <w:p>
          <w:pPr>
            <w:pStyle w:val="21"/>
            <w:tabs>
              <w:tab w:val="right" w:leader="dot" w:pos="8306"/>
            </w:tabs>
            <w:rPr>
              <w:b/>
              <w:sz w:val="28"/>
              <w:szCs w:val="28"/>
            </w:rPr>
          </w:pPr>
          <w:r>
            <w:fldChar w:fldCharType="begin"/>
          </w:r>
          <w:r>
            <w:instrText xml:space="preserve">TOC \o "1-2" \h \u </w:instrText>
          </w:r>
          <w:r>
            <w:fldChar w:fldCharType="separate"/>
          </w:r>
          <w:r>
            <w:rPr>
              <w:b/>
              <w:sz w:val="28"/>
              <w:szCs w:val="28"/>
            </w:rPr>
            <w:fldChar w:fldCharType="begin"/>
          </w:r>
          <w:r>
            <w:rPr>
              <w:b/>
              <w:sz w:val="28"/>
              <w:szCs w:val="28"/>
            </w:rPr>
            <w:instrText xml:space="preserve"> HYPERLINK \l _Toc27983 </w:instrText>
          </w:r>
          <w:r>
            <w:rPr>
              <w:b/>
              <w:sz w:val="28"/>
              <w:szCs w:val="28"/>
            </w:rPr>
            <w:fldChar w:fldCharType="separate"/>
          </w:r>
          <w:r>
            <w:rPr>
              <w:rFonts w:hint="eastAsia" w:ascii="仿宋" w:hAnsi="仿宋" w:eastAsia="仿宋" w:cs="仿宋"/>
              <w:b/>
              <w:bCs/>
              <w:sz w:val="28"/>
              <w:szCs w:val="44"/>
              <w:lang w:val="en-US" w:eastAsia="zh-CN"/>
            </w:rPr>
            <w:t>一、 项目基本情况</w:t>
          </w:r>
          <w:r>
            <w:rPr>
              <w:b/>
              <w:sz w:val="28"/>
              <w:szCs w:val="28"/>
            </w:rPr>
            <w:tab/>
          </w:r>
          <w:r>
            <w:rPr>
              <w:b/>
              <w:sz w:val="28"/>
              <w:szCs w:val="28"/>
            </w:rPr>
            <w:fldChar w:fldCharType="begin"/>
          </w:r>
          <w:r>
            <w:rPr>
              <w:b/>
              <w:sz w:val="28"/>
              <w:szCs w:val="28"/>
            </w:rPr>
            <w:instrText xml:space="preserve"> PAGEREF _Toc27983 </w:instrText>
          </w:r>
          <w:r>
            <w:rPr>
              <w:b/>
              <w:sz w:val="28"/>
              <w:szCs w:val="28"/>
            </w:rPr>
            <w:fldChar w:fldCharType="separate"/>
          </w:r>
          <w:r>
            <w:rPr>
              <w:b/>
              <w:sz w:val="28"/>
              <w:szCs w:val="28"/>
            </w:rPr>
            <w:t>4</w:t>
          </w:r>
          <w:r>
            <w:rPr>
              <w:b/>
              <w:sz w:val="28"/>
              <w:szCs w:val="28"/>
            </w:rPr>
            <w:fldChar w:fldCharType="end"/>
          </w:r>
          <w:r>
            <w:rPr>
              <w:b/>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_Toc11213 </w:instrText>
          </w:r>
          <w:r>
            <w:rPr>
              <w:sz w:val="28"/>
              <w:szCs w:val="28"/>
            </w:rPr>
            <w:fldChar w:fldCharType="separate"/>
          </w:r>
          <w:r>
            <w:rPr>
              <w:rFonts w:hint="eastAsia" w:ascii="仿宋" w:hAnsi="仿宋" w:eastAsia="仿宋" w:cs="仿宋"/>
              <w:bCs/>
              <w:sz w:val="28"/>
              <w:szCs w:val="44"/>
              <w:lang w:val="en-US" w:eastAsia="zh-CN"/>
            </w:rPr>
            <w:t>（一）项目概况</w:t>
          </w:r>
          <w:r>
            <w:rPr>
              <w:sz w:val="28"/>
              <w:szCs w:val="28"/>
            </w:rPr>
            <w:tab/>
          </w:r>
          <w:r>
            <w:rPr>
              <w:sz w:val="28"/>
              <w:szCs w:val="28"/>
            </w:rPr>
            <w:fldChar w:fldCharType="begin"/>
          </w:r>
          <w:r>
            <w:rPr>
              <w:sz w:val="28"/>
              <w:szCs w:val="28"/>
            </w:rPr>
            <w:instrText xml:space="preserve"> PAGEREF _Toc11213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_Toc3597 </w:instrText>
          </w:r>
          <w:r>
            <w:rPr>
              <w:sz w:val="28"/>
              <w:szCs w:val="28"/>
            </w:rPr>
            <w:fldChar w:fldCharType="separate"/>
          </w:r>
          <w:r>
            <w:rPr>
              <w:rFonts w:hint="eastAsia" w:ascii="Times New Roman" w:hAnsi="Times New Roman" w:eastAsia="仿宋_GB2312" w:cs="Times New Roman"/>
              <w:bCs/>
              <w:kern w:val="0"/>
              <w:sz w:val="28"/>
              <w:szCs w:val="44"/>
              <w:lang w:val="en-US" w:eastAsia="zh-CN"/>
            </w:rPr>
            <w:t>（二）项目绩效目标</w:t>
          </w:r>
          <w:r>
            <w:rPr>
              <w:sz w:val="28"/>
              <w:szCs w:val="28"/>
            </w:rPr>
            <w:tab/>
          </w:r>
          <w:r>
            <w:rPr>
              <w:sz w:val="28"/>
              <w:szCs w:val="28"/>
            </w:rPr>
            <w:fldChar w:fldCharType="begin"/>
          </w:r>
          <w:r>
            <w:rPr>
              <w:sz w:val="28"/>
              <w:szCs w:val="28"/>
            </w:rPr>
            <w:instrText xml:space="preserve"> PAGEREF _Toc3597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21"/>
            <w:tabs>
              <w:tab w:val="right" w:leader="dot" w:pos="8306"/>
            </w:tabs>
            <w:rPr>
              <w:b/>
              <w:sz w:val="28"/>
              <w:szCs w:val="28"/>
            </w:rPr>
          </w:pPr>
          <w:r>
            <w:rPr>
              <w:b/>
              <w:sz w:val="28"/>
              <w:szCs w:val="28"/>
            </w:rPr>
            <w:fldChar w:fldCharType="begin"/>
          </w:r>
          <w:r>
            <w:rPr>
              <w:b/>
              <w:sz w:val="28"/>
              <w:szCs w:val="28"/>
            </w:rPr>
            <w:instrText xml:space="preserve"> HYPERLINK \l _Toc16851 </w:instrText>
          </w:r>
          <w:r>
            <w:rPr>
              <w:b/>
              <w:sz w:val="28"/>
              <w:szCs w:val="28"/>
            </w:rPr>
            <w:fldChar w:fldCharType="separate"/>
          </w:r>
          <w:r>
            <w:rPr>
              <w:rFonts w:hint="default" w:ascii="仿宋" w:hAnsi="仿宋" w:eastAsia="仿宋" w:cs="仿宋"/>
              <w:b/>
              <w:bCs/>
              <w:sz w:val="28"/>
              <w:szCs w:val="44"/>
              <w:lang w:val="en-US" w:eastAsia="zh-CN"/>
            </w:rPr>
            <w:t>二、绩效评价工作开展情况</w:t>
          </w:r>
          <w:r>
            <w:rPr>
              <w:b/>
              <w:sz w:val="28"/>
              <w:szCs w:val="28"/>
            </w:rPr>
            <w:tab/>
          </w:r>
          <w:r>
            <w:rPr>
              <w:b/>
              <w:sz w:val="28"/>
              <w:szCs w:val="28"/>
            </w:rPr>
            <w:fldChar w:fldCharType="begin"/>
          </w:r>
          <w:r>
            <w:rPr>
              <w:b/>
              <w:sz w:val="28"/>
              <w:szCs w:val="28"/>
            </w:rPr>
            <w:instrText xml:space="preserve"> PAGEREF _Toc16851 </w:instrText>
          </w:r>
          <w:r>
            <w:rPr>
              <w:b/>
              <w:sz w:val="28"/>
              <w:szCs w:val="28"/>
            </w:rPr>
            <w:fldChar w:fldCharType="separate"/>
          </w:r>
          <w:r>
            <w:rPr>
              <w:b/>
              <w:sz w:val="28"/>
              <w:szCs w:val="28"/>
            </w:rPr>
            <w:t>9</w:t>
          </w:r>
          <w:r>
            <w:rPr>
              <w:b/>
              <w:sz w:val="28"/>
              <w:szCs w:val="28"/>
            </w:rPr>
            <w:fldChar w:fldCharType="end"/>
          </w:r>
          <w:r>
            <w:rPr>
              <w:b/>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_Toc15331 </w:instrText>
          </w:r>
          <w:r>
            <w:rPr>
              <w:sz w:val="28"/>
              <w:szCs w:val="28"/>
            </w:rPr>
            <w:fldChar w:fldCharType="separate"/>
          </w:r>
          <w:r>
            <w:rPr>
              <w:rFonts w:hint="default" w:ascii="Times New Roman" w:hAnsi="Times New Roman" w:eastAsia="仿宋_GB2312" w:cs="Times New Roman"/>
              <w:bCs/>
              <w:kern w:val="0"/>
              <w:sz w:val="28"/>
              <w:szCs w:val="44"/>
              <w:lang w:val="en-US" w:eastAsia="zh-CN"/>
            </w:rPr>
            <w:t>（一）绩效评价目的、对象和范围。</w:t>
          </w:r>
          <w:r>
            <w:rPr>
              <w:sz w:val="28"/>
              <w:szCs w:val="28"/>
            </w:rPr>
            <w:tab/>
          </w:r>
          <w:r>
            <w:rPr>
              <w:sz w:val="28"/>
              <w:szCs w:val="28"/>
            </w:rPr>
            <w:fldChar w:fldCharType="begin"/>
          </w:r>
          <w:r>
            <w:rPr>
              <w:sz w:val="28"/>
              <w:szCs w:val="28"/>
            </w:rPr>
            <w:instrText xml:space="preserve"> PAGEREF _Toc15331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_Toc3008 </w:instrText>
          </w:r>
          <w:r>
            <w:rPr>
              <w:sz w:val="28"/>
              <w:szCs w:val="28"/>
            </w:rPr>
            <w:fldChar w:fldCharType="separate"/>
          </w:r>
          <w:r>
            <w:rPr>
              <w:rFonts w:hint="eastAsia" w:ascii="Times New Roman" w:hAnsi="Times New Roman" w:eastAsia="仿宋_GB2312" w:cs="Times New Roman"/>
              <w:bCs/>
              <w:kern w:val="0"/>
              <w:sz w:val="28"/>
              <w:szCs w:val="44"/>
              <w:lang w:val="en-US" w:eastAsia="zh-CN"/>
            </w:rPr>
            <w:t>（二）绩效评价原则、评价指标体系（附表说明）、评价方法、评价标准等。</w:t>
          </w:r>
          <w:r>
            <w:rPr>
              <w:sz w:val="28"/>
              <w:szCs w:val="28"/>
            </w:rPr>
            <w:tab/>
          </w:r>
          <w:r>
            <w:rPr>
              <w:sz w:val="28"/>
              <w:szCs w:val="28"/>
            </w:rPr>
            <w:fldChar w:fldCharType="begin"/>
          </w:r>
          <w:r>
            <w:rPr>
              <w:sz w:val="28"/>
              <w:szCs w:val="28"/>
            </w:rPr>
            <w:instrText xml:space="preserve"> PAGEREF _Toc3008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_Toc8708 </w:instrText>
          </w:r>
          <w:r>
            <w:rPr>
              <w:sz w:val="28"/>
              <w:szCs w:val="28"/>
            </w:rPr>
            <w:fldChar w:fldCharType="separate"/>
          </w:r>
          <w:r>
            <w:rPr>
              <w:rFonts w:hint="default" w:ascii="Times New Roman" w:hAnsi="Times New Roman" w:eastAsia="仿宋_GB2312" w:cs="Times New Roman"/>
              <w:bCs/>
              <w:kern w:val="0"/>
              <w:sz w:val="28"/>
              <w:szCs w:val="44"/>
              <w:lang w:val="en-US" w:eastAsia="zh-CN"/>
            </w:rPr>
            <w:t>（三）绩效评价工作过程。</w:t>
          </w:r>
          <w:r>
            <w:rPr>
              <w:sz w:val="28"/>
              <w:szCs w:val="28"/>
            </w:rPr>
            <w:tab/>
          </w:r>
          <w:r>
            <w:rPr>
              <w:sz w:val="28"/>
              <w:szCs w:val="28"/>
            </w:rPr>
            <w:fldChar w:fldCharType="begin"/>
          </w:r>
          <w:r>
            <w:rPr>
              <w:sz w:val="28"/>
              <w:szCs w:val="28"/>
            </w:rPr>
            <w:instrText xml:space="preserve"> PAGEREF _Toc8708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21"/>
            <w:tabs>
              <w:tab w:val="right" w:leader="dot" w:pos="8306"/>
            </w:tabs>
            <w:rPr>
              <w:b/>
              <w:sz w:val="28"/>
              <w:szCs w:val="28"/>
            </w:rPr>
          </w:pPr>
          <w:r>
            <w:rPr>
              <w:b/>
              <w:sz w:val="28"/>
              <w:szCs w:val="28"/>
            </w:rPr>
            <w:fldChar w:fldCharType="begin"/>
          </w:r>
          <w:r>
            <w:rPr>
              <w:b/>
              <w:sz w:val="28"/>
              <w:szCs w:val="28"/>
            </w:rPr>
            <w:instrText xml:space="preserve"> HYPERLINK \l _Toc13217 </w:instrText>
          </w:r>
          <w:r>
            <w:rPr>
              <w:b/>
              <w:sz w:val="28"/>
              <w:szCs w:val="28"/>
            </w:rPr>
            <w:fldChar w:fldCharType="separate"/>
          </w:r>
          <w:r>
            <w:rPr>
              <w:rFonts w:hint="eastAsia" w:ascii="仿宋" w:hAnsi="仿宋" w:eastAsia="仿宋" w:cs="仿宋"/>
              <w:b/>
              <w:bCs/>
              <w:sz w:val="28"/>
              <w:szCs w:val="44"/>
              <w:lang w:val="en-US" w:eastAsia="zh-CN"/>
            </w:rPr>
            <w:t>三、综合评价情况及评价结论（附相关评分表）</w:t>
          </w:r>
          <w:r>
            <w:rPr>
              <w:b/>
              <w:sz w:val="28"/>
              <w:szCs w:val="28"/>
            </w:rPr>
            <w:tab/>
          </w:r>
          <w:r>
            <w:rPr>
              <w:b/>
              <w:sz w:val="28"/>
              <w:szCs w:val="28"/>
            </w:rPr>
            <w:fldChar w:fldCharType="begin"/>
          </w:r>
          <w:r>
            <w:rPr>
              <w:b/>
              <w:sz w:val="28"/>
              <w:szCs w:val="28"/>
            </w:rPr>
            <w:instrText xml:space="preserve"> PAGEREF _Toc13217 </w:instrText>
          </w:r>
          <w:r>
            <w:rPr>
              <w:b/>
              <w:sz w:val="28"/>
              <w:szCs w:val="28"/>
            </w:rPr>
            <w:fldChar w:fldCharType="separate"/>
          </w:r>
          <w:r>
            <w:rPr>
              <w:b/>
              <w:sz w:val="28"/>
              <w:szCs w:val="28"/>
            </w:rPr>
            <w:t>16</w:t>
          </w:r>
          <w:r>
            <w:rPr>
              <w:b/>
              <w:sz w:val="28"/>
              <w:szCs w:val="28"/>
            </w:rPr>
            <w:fldChar w:fldCharType="end"/>
          </w:r>
          <w:r>
            <w:rPr>
              <w:b/>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_Toc12970 </w:instrText>
          </w:r>
          <w:r>
            <w:rPr>
              <w:sz w:val="28"/>
              <w:szCs w:val="28"/>
            </w:rPr>
            <w:fldChar w:fldCharType="separate"/>
          </w:r>
          <w:r>
            <w:rPr>
              <w:rFonts w:hint="eastAsia" w:ascii="Times New Roman" w:hAnsi="Times New Roman" w:eastAsia="仿宋_GB2312" w:cs="Times New Roman"/>
              <w:bCs/>
              <w:kern w:val="0"/>
              <w:sz w:val="28"/>
              <w:szCs w:val="44"/>
              <w:lang w:val="en-US" w:eastAsia="zh-CN"/>
            </w:rPr>
            <w:t>（一）评价结论</w:t>
          </w:r>
          <w:r>
            <w:rPr>
              <w:sz w:val="28"/>
              <w:szCs w:val="28"/>
            </w:rPr>
            <w:tab/>
          </w:r>
          <w:r>
            <w:rPr>
              <w:sz w:val="28"/>
              <w:szCs w:val="28"/>
            </w:rPr>
            <w:fldChar w:fldCharType="begin"/>
          </w:r>
          <w:r>
            <w:rPr>
              <w:sz w:val="28"/>
              <w:szCs w:val="28"/>
            </w:rPr>
            <w:instrText xml:space="preserve"> PAGEREF _Toc12970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_Toc21989 </w:instrText>
          </w:r>
          <w:r>
            <w:rPr>
              <w:sz w:val="28"/>
              <w:szCs w:val="28"/>
            </w:rPr>
            <w:fldChar w:fldCharType="separate"/>
          </w:r>
          <w:r>
            <w:rPr>
              <w:rFonts w:hint="eastAsia" w:cs="Times New Roman"/>
              <w:bCs/>
              <w:kern w:val="0"/>
              <w:sz w:val="28"/>
              <w:szCs w:val="44"/>
              <w:lang w:val="en-US" w:eastAsia="zh-CN" w:bidi="ar-SA"/>
            </w:rPr>
            <w:t>（二）</w:t>
          </w:r>
          <w:r>
            <w:rPr>
              <w:rFonts w:hint="default" w:ascii="Calibri" w:hAnsi="Calibri" w:eastAsia="仿宋_GB2312" w:cs="Times New Roman"/>
              <w:bCs/>
              <w:kern w:val="0"/>
              <w:sz w:val="28"/>
              <w:szCs w:val="44"/>
              <w:lang w:val="en-US" w:eastAsia="zh-CN" w:bidi="ar-SA"/>
            </w:rPr>
            <w:t>评分过程</w:t>
          </w:r>
          <w:r>
            <w:rPr>
              <w:rFonts w:hint="eastAsia" w:cs="Times New Roman"/>
              <w:bCs/>
              <w:kern w:val="0"/>
              <w:sz w:val="28"/>
              <w:szCs w:val="44"/>
              <w:lang w:val="en-US" w:eastAsia="zh-CN" w:bidi="ar-SA"/>
            </w:rPr>
            <w:t>详见表附件2；</w:t>
          </w:r>
          <w:r>
            <w:rPr>
              <w:sz w:val="28"/>
              <w:szCs w:val="28"/>
            </w:rPr>
            <w:tab/>
          </w:r>
          <w:r>
            <w:rPr>
              <w:sz w:val="28"/>
              <w:szCs w:val="28"/>
            </w:rPr>
            <w:fldChar w:fldCharType="begin"/>
          </w:r>
          <w:r>
            <w:rPr>
              <w:sz w:val="28"/>
              <w:szCs w:val="28"/>
            </w:rPr>
            <w:instrText xml:space="preserve"> PAGEREF _Toc21989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21"/>
            <w:tabs>
              <w:tab w:val="right" w:leader="dot" w:pos="8306"/>
            </w:tabs>
            <w:rPr>
              <w:b/>
              <w:sz w:val="28"/>
              <w:szCs w:val="28"/>
            </w:rPr>
          </w:pPr>
          <w:r>
            <w:rPr>
              <w:b/>
              <w:sz w:val="28"/>
              <w:szCs w:val="28"/>
            </w:rPr>
            <w:fldChar w:fldCharType="begin"/>
          </w:r>
          <w:r>
            <w:rPr>
              <w:b/>
              <w:sz w:val="28"/>
              <w:szCs w:val="28"/>
            </w:rPr>
            <w:instrText xml:space="preserve"> HYPERLINK \l _Toc5987 </w:instrText>
          </w:r>
          <w:r>
            <w:rPr>
              <w:b/>
              <w:sz w:val="28"/>
              <w:szCs w:val="28"/>
            </w:rPr>
            <w:fldChar w:fldCharType="separate"/>
          </w:r>
          <w:r>
            <w:rPr>
              <w:rFonts w:hint="eastAsia" w:ascii="仿宋" w:hAnsi="仿宋" w:eastAsia="仿宋" w:cs="仿宋"/>
              <w:b/>
              <w:bCs/>
              <w:sz w:val="28"/>
              <w:szCs w:val="44"/>
              <w:lang w:val="en-US" w:eastAsia="zh-CN"/>
            </w:rPr>
            <w:t>四、绩效评价指标分析情况</w:t>
          </w:r>
          <w:r>
            <w:rPr>
              <w:b/>
              <w:sz w:val="28"/>
              <w:szCs w:val="28"/>
            </w:rPr>
            <w:tab/>
          </w:r>
          <w:r>
            <w:rPr>
              <w:b/>
              <w:sz w:val="28"/>
              <w:szCs w:val="28"/>
            </w:rPr>
            <w:fldChar w:fldCharType="begin"/>
          </w:r>
          <w:r>
            <w:rPr>
              <w:b/>
              <w:sz w:val="28"/>
              <w:szCs w:val="28"/>
            </w:rPr>
            <w:instrText xml:space="preserve"> PAGEREF _Toc5987 </w:instrText>
          </w:r>
          <w:r>
            <w:rPr>
              <w:b/>
              <w:sz w:val="28"/>
              <w:szCs w:val="28"/>
            </w:rPr>
            <w:fldChar w:fldCharType="separate"/>
          </w:r>
          <w:r>
            <w:rPr>
              <w:b/>
              <w:sz w:val="28"/>
              <w:szCs w:val="28"/>
            </w:rPr>
            <w:t>18</w:t>
          </w:r>
          <w:r>
            <w:rPr>
              <w:b/>
              <w:sz w:val="28"/>
              <w:szCs w:val="28"/>
            </w:rPr>
            <w:fldChar w:fldCharType="end"/>
          </w:r>
          <w:r>
            <w:rPr>
              <w:b/>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_Toc27849 </w:instrText>
          </w:r>
          <w:r>
            <w:rPr>
              <w:sz w:val="28"/>
              <w:szCs w:val="28"/>
            </w:rPr>
            <w:fldChar w:fldCharType="separate"/>
          </w:r>
          <w:r>
            <w:rPr>
              <w:rFonts w:hint="eastAsia" w:ascii="Times New Roman" w:hAnsi="Times New Roman" w:eastAsia="仿宋_GB2312"/>
              <w:bCs/>
              <w:kern w:val="0"/>
              <w:sz w:val="28"/>
              <w:szCs w:val="44"/>
              <w:lang w:val="en-US" w:eastAsia="zh-CN"/>
            </w:rPr>
            <w:t>（一）项目决策情况分析</w:t>
          </w:r>
          <w:r>
            <w:rPr>
              <w:sz w:val="28"/>
              <w:szCs w:val="28"/>
            </w:rPr>
            <w:tab/>
          </w:r>
          <w:r>
            <w:rPr>
              <w:sz w:val="28"/>
              <w:szCs w:val="28"/>
            </w:rPr>
            <w:fldChar w:fldCharType="begin"/>
          </w:r>
          <w:r>
            <w:rPr>
              <w:sz w:val="28"/>
              <w:szCs w:val="28"/>
            </w:rPr>
            <w:instrText xml:space="preserve"> PAGEREF _Toc27849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_Toc3239 </w:instrText>
          </w:r>
          <w:r>
            <w:rPr>
              <w:sz w:val="28"/>
              <w:szCs w:val="28"/>
            </w:rPr>
            <w:fldChar w:fldCharType="separate"/>
          </w:r>
          <w:r>
            <w:rPr>
              <w:rFonts w:hint="default" w:ascii="仿宋_GB2312" w:hAnsi="仿宋_GB2312" w:eastAsia="仿宋_GB2312" w:cs="仿宋_GB2312"/>
              <w:bCs/>
              <w:kern w:val="0"/>
              <w:sz w:val="28"/>
              <w:szCs w:val="44"/>
              <w:lang w:val="en-US" w:eastAsia="zh-CN" w:bidi="ar"/>
            </w:rPr>
            <w:t>（二）项目</w:t>
          </w:r>
          <w:r>
            <w:rPr>
              <w:rFonts w:hint="eastAsia" w:ascii="仿宋_GB2312" w:hAnsi="仿宋_GB2312" w:eastAsia="仿宋_GB2312" w:cs="仿宋_GB2312"/>
              <w:bCs/>
              <w:kern w:val="0"/>
              <w:sz w:val="28"/>
              <w:szCs w:val="44"/>
              <w:lang w:val="en-US" w:eastAsia="zh-CN" w:bidi="ar"/>
            </w:rPr>
            <w:t>过程</w:t>
          </w:r>
          <w:r>
            <w:rPr>
              <w:rFonts w:hint="default" w:ascii="仿宋_GB2312" w:hAnsi="仿宋_GB2312" w:eastAsia="仿宋_GB2312" w:cs="仿宋_GB2312"/>
              <w:bCs/>
              <w:kern w:val="0"/>
              <w:sz w:val="28"/>
              <w:szCs w:val="44"/>
              <w:lang w:val="en-US" w:eastAsia="zh-CN" w:bidi="ar"/>
            </w:rPr>
            <w:t>情况分析</w:t>
          </w:r>
          <w:r>
            <w:rPr>
              <w:sz w:val="28"/>
              <w:szCs w:val="28"/>
            </w:rPr>
            <w:tab/>
          </w:r>
          <w:r>
            <w:rPr>
              <w:sz w:val="28"/>
              <w:szCs w:val="28"/>
            </w:rPr>
            <w:fldChar w:fldCharType="begin"/>
          </w:r>
          <w:r>
            <w:rPr>
              <w:sz w:val="28"/>
              <w:szCs w:val="28"/>
            </w:rPr>
            <w:instrText xml:space="preserve"> PAGEREF _Toc3239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_Toc17355 </w:instrText>
          </w:r>
          <w:r>
            <w:rPr>
              <w:sz w:val="28"/>
              <w:szCs w:val="28"/>
            </w:rPr>
            <w:fldChar w:fldCharType="separate"/>
          </w:r>
          <w:r>
            <w:rPr>
              <w:rFonts w:hint="eastAsia" w:ascii="仿宋_GB2312" w:hAnsi="仿宋_GB2312" w:eastAsia="仿宋_GB2312" w:cs="仿宋_GB2312"/>
              <w:bCs/>
              <w:kern w:val="0"/>
              <w:sz w:val="28"/>
              <w:szCs w:val="44"/>
              <w:lang w:val="en-US" w:eastAsia="zh-CN" w:bidi="ar"/>
            </w:rPr>
            <w:t>（三）项目产出情况分析</w:t>
          </w:r>
          <w:r>
            <w:rPr>
              <w:sz w:val="28"/>
              <w:szCs w:val="28"/>
            </w:rPr>
            <w:tab/>
          </w:r>
          <w:r>
            <w:rPr>
              <w:sz w:val="28"/>
              <w:szCs w:val="28"/>
            </w:rPr>
            <w:fldChar w:fldCharType="begin"/>
          </w:r>
          <w:r>
            <w:rPr>
              <w:sz w:val="28"/>
              <w:szCs w:val="28"/>
            </w:rPr>
            <w:instrText xml:space="preserve"> PAGEREF _Toc17355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_Toc13655 </w:instrText>
          </w:r>
          <w:r>
            <w:rPr>
              <w:sz w:val="28"/>
              <w:szCs w:val="28"/>
            </w:rPr>
            <w:fldChar w:fldCharType="separate"/>
          </w:r>
          <w:r>
            <w:rPr>
              <w:rFonts w:hint="eastAsia" w:ascii="仿宋_GB2312" w:hAnsi="仿宋_GB2312" w:eastAsia="仿宋_GB2312" w:cs="仿宋_GB2312"/>
              <w:bCs/>
              <w:kern w:val="0"/>
              <w:sz w:val="28"/>
              <w:szCs w:val="44"/>
              <w:lang w:val="en-US" w:eastAsia="zh-CN" w:bidi="ar"/>
            </w:rPr>
            <w:t>（四） 产出效益指标分析</w:t>
          </w:r>
          <w:r>
            <w:rPr>
              <w:sz w:val="28"/>
              <w:szCs w:val="28"/>
            </w:rPr>
            <w:tab/>
          </w:r>
          <w:r>
            <w:rPr>
              <w:sz w:val="28"/>
              <w:szCs w:val="28"/>
            </w:rPr>
            <w:fldChar w:fldCharType="begin"/>
          </w:r>
          <w:r>
            <w:rPr>
              <w:sz w:val="28"/>
              <w:szCs w:val="28"/>
            </w:rPr>
            <w:instrText xml:space="preserve"> PAGEREF _Toc13655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21"/>
            <w:tabs>
              <w:tab w:val="right" w:leader="dot" w:pos="8306"/>
            </w:tabs>
            <w:rPr>
              <w:b/>
              <w:sz w:val="28"/>
              <w:szCs w:val="28"/>
            </w:rPr>
          </w:pPr>
          <w:r>
            <w:rPr>
              <w:b/>
              <w:sz w:val="28"/>
              <w:szCs w:val="28"/>
            </w:rPr>
            <w:fldChar w:fldCharType="begin"/>
          </w:r>
          <w:r>
            <w:rPr>
              <w:b/>
              <w:sz w:val="28"/>
              <w:szCs w:val="28"/>
            </w:rPr>
            <w:instrText xml:space="preserve"> HYPERLINK \l _Toc19001 </w:instrText>
          </w:r>
          <w:r>
            <w:rPr>
              <w:b/>
              <w:sz w:val="28"/>
              <w:szCs w:val="28"/>
            </w:rPr>
            <w:fldChar w:fldCharType="separate"/>
          </w:r>
          <w:r>
            <w:rPr>
              <w:rFonts w:hint="eastAsia" w:ascii="仿宋" w:hAnsi="仿宋" w:eastAsia="仿宋" w:cs="仿宋"/>
              <w:b/>
              <w:bCs/>
              <w:sz w:val="28"/>
              <w:szCs w:val="44"/>
              <w:lang w:val="en-US" w:eastAsia="zh-CN"/>
            </w:rPr>
            <w:t>五、主要经验及做法</w:t>
          </w:r>
          <w:r>
            <w:rPr>
              <w:b/>
              <w:sz w:val="28"/>
              <w:szCs w:val="28"/>
            </w:rPr>
            <w:tab/>
          </w:r>
          <w:r>
            <w:rPr>
              <w:b/>
              <w:sz w:val="28"/>
              <w:szCs w:val="28"/>
            </w:rPr>
            <w:fldChar w:fldCharType="begin"/>
          </w:r>
          <w:r>
            <w:rPr>
              <w:b/>
              <w:sz w:val="28"/>
              <w:szCs w:val="28"/>
            </w:rPr>
            <w:instrText xml:space="preserve"> PAGEREF _Toc19001 </w:instrText>
          </w:r>
          <w:r>
            <w:rPr>
              <w:b/>
              <w:sz w:val="28"/>
              <w:szCs w:val="28"/>
            </w:rPr>
            <w:fldChar w:fldCharType="separate"/>
          </w:r>
          <w:r>
            <w:rPr>
              <w:b/>
              <w:sz w:val="28"/>
              <w:szCs w:val="28"/>
            </w:rPr>
            <w:t>26</w:t>
          </w:r>
          <w:r>
            <w:rPr>
              <w:b/>
              <w:sz w:val="28"/>
              <w:szCs w:val="28"/>
            </w:rPr>
            <w:fldChar w:fldCharType="end"/>
          </w:r>
          <w:r>
            <w:rPr>
              <w:b/>
              <w:sz w:val="28"/>
              <w:szCs w:val="28"/>
            </w:rPr>
            <w:fldChar w:fldCharType="end"/>
          </w:r>
        </w:p>
        <w:p>
          <w:pPr>
            <w:pStyle w:val="21"/>
            <w:tabs>
              <w:tab w:val="right" w:leader="dot" w:pos="8306"/>
            </w:tabs>
            <w:rPr>
              <w:b/>
              <w:sz w:val="28"/>
              <w:szCs w:val="28"/>
            </w:rPr>
          </w:pPr>
          <w:r>
            <w:rPr>
              <w:b/>
              <w:sz w:val="28"/>
              <w:szCs w:val="28"/>
            </w:rPr>
            <w:fldChar w:fldCharType="begin"/>
          </w:r>
          <w:r>
            <w:rPr>
              <w:b/>
              <w:sz w:val="28"/>
              <w:szCs w:val="28"/>
            </w:rPr>
            <w:instrText xml:space="preserve"> HYPERLINK \l _Toc947 </w:instrText>
          </w:r>
          <w:r>
            <w:rPr>
              <w:b/>
              <w:sz w:val="28"/>
              <w:szCs w:val="28"/>
            </w:rPr>
            <w:fldChar w:fldCharType="separate"/>
          </w:r>
          <w:r>
            <w:rPr>
              <w:rFonts w:hint="eastAsia" w:ascii="仿宋" w:hAnsi="仿宋" w:eastAsia="仿宋" w:cs="仿宋"/>
              <w:b/>
              <w:bCs/>
              <w:sz w:val="28"/>
              <w:szCs w:val="44"/>
              <w:lang w:val="en-US" w:eastAsia="zh-CN"/>
            </w:rPr>
            <w:t>六、存在的问题及原因分析</w:t>
          </w:r>
          <w:r>
            <w:rPr>
              <w:b/>
              <w:sz w:val="28"/>
              <w:szCs w:val="28"/>
            </w:rPr>
            <w:tab/>
          </w:r>
          <w:r>
            <w:rPr>
              <w:b/>
              <w:sz w:val="28"/>
              <w:szCs w:val="28"/>
            </w:rPr>
            <w:fldChar w:fldCharType="begin"/>
          </w:r>
          <w:r>
            <w:rPr>
              <w:b/>
              <w:sz w:val="28"/>
              <w:szCs w:val="28"/>
            </w:rPr>
            <w:instrText xml:space="preserve"> PAGEREF _Toc947 </w:instrText>
          </w:r>
          <w:r>
            <w:rPr>
              <w:b/>
              <w:sz w:val="28"/>
              <w:szCs w:val="28"/>
            </w:rPr>
            <w:fldChar w:fldCharType="separate"/>
          </w:r>
          <w:r>
            <w:rPr>
              <w:b/>
              <w:sz w:val="28"/>
              <w:szCs w:val="28"/>
            </w:rPr>
            <w:t>27</w:t>
          </w:r>
          <w:r>
            <w:rPr>
              <w:b/>
              <w:sz w:val="28"/>
              <w:szCs w:val="28"/>
            </w:rPr>
            <w:fldChar w:fldCharType="end"/>
          </w:r>
          <w:r>
            <w:rPr>
              <w:b/>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_Toc4308 </w:instrText>
          </w:r>
          <w:r>
            <w:rPr>
              <w:sz w:val="28"/>
              <w:szCs w:val="28"/>
            </w:rPr>
            <w:fldChar w:fldCharType="separate"/>
          </w:r>
          <w:r>
            <w:rPr>
              <w:rFonts w:hint="eastAsia" w:ascii="仿宋_GB2312" w:hAnsi="仿宋_GB2312" w:eastAsia="仿宋_GB2312" w:cs="仿宋_GB2312"/>
              <w:bCs w:val="0"/>
              <w:kern w:val="0"/>
              <w:sz w:val="28"/>
              <w:szCs w:val="44"/>
              <w:lang w:val="en-US" w:eastAsia="zh-CN" w:bidi="ar"/>
            </w:rPr>
            <w:t>1、资金预算明细度不够；</w:t>
          </w:r>
          <w:r>
            <w:rPr>
              <w:sz w:val="28"/>
              <w:szCs w:val="28"/>
            </w:rPr>
            <w:tab/>
          </w:r>
          <w:r>
            <w:rPr>
              <w:sz w:val="28"/>
              <w:szCs w:val="28"/>
            </w:rPr>
            <w:fldChar w:fldCharType="begin"/>
          </w:r>
          <w:r>
            <w:rPr>
              <w:sz w:val="28"/>
              <w:szCs w:val="28"/>
            </w:rPr>
            <w:instrText xml:space="preserve"> PAGEREF _Toc4308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_Toc5872 </w:instrText>
          </w:r>
          <w:r>
            <w:rPr>
              <w:sz w:val="28"/>
              <w:szCs w:val="28"/>
            </w:rPr>
            <w:fldChar w:fldCharType="separate"/>
          </w:r>
          <w:r>
            <w:rPr>
              <w:rFonts w:hint="eastAsia" w:ascii="仿宋_GB2312" w:hAnsi="仿宋_GB2312" w:eastAsia="仿宋_GB2312" w:cs="仿宋_GB2312"/>
              <w:bCs w:val="0"/>
              <w:kern w:val="0"/>
              <w:sz w:val="28"/>
              <w:szCs w:val="44"/>
              <w:lang w:val="en-US" w:eastAsia="zh-CN" w:bidi="ar"/>
            </w:rPr>
            <w:t>2、社会人群满意度提升困难；</w:t>
          </w:r>
          <w:r>
            <w:rPr>
              <w:sz w:val="28"/>
              <w:szCs w:val="28"/>
            </w:rPr>
            <w:tab/>
          </w:r>
          <w:r>
            <w:rPr>
              <w:sz w:val="28"/>
              <w:szCs w:val="28"/>
            </w:rPr>
            <w:fldChar w:fldCharType="begin"/>
          </w:r>
          <w:r>
            <w:rPr>
              <w:sz w:val="28"/>
              <w:szCs w:val="28"/>
            </w:rPr>
            <w:instrText xml:space="preserve"> PAGEREF _Toc5872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21"/>
            <w:tabs>
              <w:tab w:val="right" w:leader="dot" w:pos="8306"/>
            </w:tabs>
            <w:rPr>
              <w:b/>
              <w:sz w:val="28"/>
              <w:szCs w:val="28"/>
            </w:rPr>
          </w:pPr>
          <w:r>
            <w:rPr>
              <w:b/>
              <w:sz w:val="28"/>
              <w:szCs w:val="28"/>
            </w:rPr>
            <w:fldChar w:fldCharType="begin"/>
          </w:r>
          <w:r>
            <w:rPr>
              <w:b/>
              <w:sz w:val="28"/>
              <w:szCs w:val="28"/>
            </w:rPr>
            <w:instrText xml:space="preserve"> HYPERLINK \l _Toc11668 </w:instrText>
          </w:r>
          <w:r>
            <w:rPr>
              <w:b/>
              <w:sz w:val="28"/>
              <w:szCs w:val="28"/>
            </w:rPr>
            <w:fldChar w:fldCharType="separate"/>
          </w:r>
          <w:r>
            <w:rPr>
              <w:rFonts w:hint="eastAsia" w:ascii="仿宋" w:hAnsi="仿宋" w:eastAsia="仿宋" w:cs="仿宋"/>
              <w:b/>
              <w:bCs/>
              <w:sz w:val="28"/>
              <w:szCs w:val="44"/>
              <w:lang w:val="en-US" w:eastAsia="zh-CN"/>
            </w:rPr>
            <w:t>七、下一步改进建议</w:t>
          </w:r>
          <w:r>
            <w:rPr>
              <w:b/>
              <w:sz w:val="28"/>
              <w:szCs w:val="28"/>
            </w:rPr>
            <w:tab/>
          </w:r>
          <w:r>
            <w:rPr>
              <w:b/>
              <w:sz w:val="28"/>
              <w:szCs w:val="28"/>
            </w:rPr>
            <w:fldChar w:fldCharType="begin"/>
          </w:r>
          <w:r>
            <w:rPr>
              <w:b/>
              <w:sz w:val="28"/>
              <w:szCs w:val="28"/>
            </w:rPr>
            <w:instrText xml:space="preserve"> PAGEREF _Toc11668 </w:instrText>
          </w:r>
          <w:r>
            <w:rPr>
              <w:b/>
              <w:sz w:val="28"/>
              <w:szCs w:val="28"/>
            </w:rPr>
            <w:fldChar w:fldCharType="separate"/>
          </w:r>
          <w:r>
            <w:rPr>
              <w:b/>
              <w:sz w:val="28"/>
              <w:szCs w:val="28"/>
            </w:rPr>
            <w:t>27</w:t>
          </w:r>
          <w:r>
            <w:rPr>
              <w:b/>
              <w:sz w:val="28"/>
              <w:szCs w:val="28"/>
            </w:rPr>
            <w:fldChar w:fldCharType="end"/>
          </w:r>
          <w:r>
            <w:rPr>
              <w:b/>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_Toc6770 </w:instrText>
          </w:r>
          <w:r>
            <w:rPr>
              <w:sz w:val="28"/>
              <w:szCs w:val="28"/>
            </w:rPr>
            <w:fldChar w:fldCharType="separate"/>
          </w:r>
          <w:r>
            <w:rPr>
              <w:rFonts w:hint="eastAsia" w:ascii="仿宋_GB2312" w:hAnsi="仿宋_GB2312" w:eastAsia="仿宋_GB2312" w:cs="仿宋_GB2312"/>
              <w:kern w:val="0"/>
              <w:sz w:val="28"/>
              <w:szCs w:val="44"/>
              <w:lang w:val="en-US" w:eastAsia="zh-CN" w:bidi="ar"/>
            </w:rPr>
            <w:t>1、建立健全财务管理制度及预算管理制度</w:t>
          </w:r>
          <w:r>
            <w:rPr>
              <w:sz w:val="28"/>
              <w:szCs w:val="28"/>
            </w:rPr>
            <w:tab/>
          </w:r>
          <w:r>
            <w:rPr>
              <w:sz w:val="28"/>
              <w:szCs w:val="28"/>
            </w:rPr>
            <w:fldChar w:fldCharType="begin"/>
          </w:r>
          <w:r>
            <w:rPr>
              <w:sz w:val="28"/>
              <w:szCs w:val="28"/>
            </w:rPr>
            <w:instrText xml:space="preserve"> PAGEREF _Toc6770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22"/>
            <w:tabs>
              <w:tab w:val="right" w:leader="dot" w:pos="8306"/>
            </w:tabs>
            <w:rPr>
              <w:sz w:val="28"/>
              <w:szCs w:val="28"/>
            </w:rPr>
          </w:pPr>
          <w:r>
            <w:rPr>
              <w:sz w:val="28"/>
              <w:szCs w:val="28"/>
            </w:rPr>
            <w:fldChar w:fldCharType="begin"/>
          </w:r>
          <w:r>
            <w:rPr>
              <w:sz w:val="28"/>
              <w:szCs w:val="28"/>
            </w:rPr>
            <w:instrText xml:space="preserve"> HYPERLINK \l _Toc32362 </w:instrText>
          </w:r>
          <w:r>
            <w:rPr>
              <w:sz w:val="28"/>
              <w:szCs w:val="28"/>
            </w:rPr>
            <w:fldChar w:fldCharType="separate"/>
          </w:r>
          <w:r>
            <w:rPr>
              <w:rFonts w:hint="eastAsia" w:ascii="仿宋_GB2312" w:hAnsi="仿宋_GB2312" w:eastAsia="仿宋_GB2312" w:cs="仿宋_GB2312"/>
              <w:kern w:val="0"/>
              <w:sz w:val="28"/>
              <w:szCs w:val="44"/>
              <w:lang w:val="en-US" w:eastAsia="zh-CN" w:bidi="ar"/>
            </w:rPr>
            <w:t>2、加强宣传力度，提升社会人群满意度</w:t>
          </w:r>
          <w:r>
            <w:rPr>
              <w:sz w:val="28"/>
              <w:szCs w:val="28"/>
            </w:rPr>
            <w:tab/>
          </w:r>
          <w:r>
            <w:rPr>
              <w:sz w:val="28"/>
              <w:szCs w:val="28"/>
            </w:rPr>
            <w:fldChar w:fldCharType="begin"/>
          </w:r>
          <w:r>
            <w:rPr>
              <w:sz w:val="28"/>
              <w:szCs w:val="28"/>
            </w:rPr>
            <w:instrText xml:space="preserve"> PAGEREF _Toc32362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21"/>
            <w:tabs>
              <w:tab w:val="right" w:leader="dot" w:pos="8306"/>
            </w:tabs>
            <w:rPr>
              <w:b/>
              <w:sz w:val="28"/>
              <w:szCs w:val="28"/>
            </w:rPr>
          </w:pPr>
          <w:r>
            <w:rPr>
              <w:b/>
              <w:sz w:val="28"/>
              <w:szCs w:val="28"/>
            </w:rPr>
            <w:fldChar w:fldCharType="begin"/>
          </w:r>
          <w:r>
            <w:rPr>
              <w:b/>
              <w:sz w:val="28"/>
              <w:szCs w:val="28"/>
            </w:rPr>
            <w:instrText xml:space="preserve"> HYPERLINK \l _Toc23551 </w:instrText>
          </w:r>
          <w:r>
            <w:rPr>
              <w:b/>
              <w:sz w:val="28"/>
              <w:szCs w:val="28"/>
            </w:rPr>
            <w:fldChar w:fldCharType="separate"/>
          </w:r>
          <w:r>
            <w:rPr>
              <w:rFonts w:hint="eastAsia" w:ascii="仿宋" w:hAnsi="仿宋" w:eastAsia="仿宋" w:cs="仿宋"/>
              <w:b/>
              <w:bCs/>
              <w:sz w:val="28"/>
              <w:szCs w:val="44"/>
              <w:lang w:val="en-US" w:eastAsia="zh-CN"/>
            </w:rPr>
            <w:t>八、其他需要说明的问题</w:t>
          </w:r>
          <w:r>
            <w:rPr>
              <w:b/>
              <w:sz w:val="28"/>
              <w:szCs w:val="28"/>
            </w:rPr>
            <w:tab/>
          </w:r>
          <w:r>
            <w:rPr>
              <w:b/>
              <w:sz w:val="28"/>
              <w:szCs w:val="28"/>
            </w:rPr>
            <w:fldChar w:fldCharType="begin"/>
          </w:r>
          <w:r>
            <w:rPr>
              <w:b/>
              <w:sz w:val="28"/>
              <w:szCs w:val="28"/>
            </w:rPr>
            <w:instrText xml:space="preserve"> PAGEREF _Toc23551 </w:instrText>
          </w:r>
          <w:r>
            <w:rPr>
              <w:b/>
              <w:sz w:val="28"/>
              <w:szCs w:val="28"/>
            </w:rPr>
            <w:fldChar w:fldCharType="separate"/>
          </w:r>
          <w:r>
            <w:rPr>
              <w:b/>
              <w:sz w:val="28"/>
              <w:szCs w:val="28"/>
            </w:rPr>
            <w:t>28</w:t>
          </w:r>
          <w:r>
            <w:rPr>
              <w:b/>
              <w:sz w:val="28"/>
              <w:szCs w:val="28"/>
            </w:rPr>
            <w:fldChar w:fldCharType="end"/>
          </w:r>
          <w:r>
            <w:rPr>
              <w:b/>
              <w:sz w:val="28"/>
              <w:szCs w:val="28"/>
            </w:rPr>
            <w:fldChar w:fldCharType="end"/>
          </w:r>
        </w:p>
        <w:p>
          <w:pPr>
            <w:pStyle w:val="21"/>
            <w:tabs>
              <w:tab w:val="right" w:leader="dot" w:pos="8306"/>
            </w:tabs>
            <w:rPr>
              <w:b/>
              <w:sz w:val="28"/>
              <w:szCs w:val="28"/>
            </w:rPr>
          </w:pPr>
          <w:r>
            <w:rPr>
              <w:b/>
              <w:sz w:val="28"/>
              <w:szCs w:val="28"/>
            </w:rPr>
            <w:fldChar w:fldCharType="begin"/>
          </w:r>
          <w:r>
            <w:rPr>
              <w:b/>
              <w:sz w:val="28"/>
              <w:szCs w:val="28"/>
            </w:rPr>
            <w:instrText xml:space="preserve"> HYPERLINK \l _Toc19251 </w:instrText>
          </w:r>
          <w:r>
            <w:rPr>
              <w:b/>
              <w:sz w:val="28"/>
              <w:szCs w:val="28"/>
            </w:rPr>
            <w:fldChar w:fldCharType="separate"/>
          </w:r>
          <w:r>
            <w:rPr>
              <w:rFonts w:hint="eastAsia" w:ascii="仿宋_GB2312" w:hAnsi="仿宋_GB2312" w:eastAsia="仿宋_GB2312" w:cs="仿宋_GB2312"/>
              <w:b/>
              <w:kern w:val="0"/>
              <w:sz w:val="28"/>
              <w:szCs w:val="44"/>
              <w:lang w:val="en-US" w:eastAsia="zh-CN" w:bidi="ar"/>
            </w:rPr>
            <w:t>附件 综合评分表</w:t>
          </w:r>
          <w:r>
            <w:rPr>
              <w:b/>
              <w:sz w:val="28"/>
              <w:szCs w:val="28"/>
            </w:rPr>
            <w:tab/>
          </w:r>
          <w:r>
            <w:rPr>
              <w:b/>
              <w:sz w:val="28"/>
              <w:szCs w:val="28"/>
            </w:rPr>
            <w:fldChar w:fldCharType="begin"/>
          </w:r>
          <w:r>
            <w:rPr>
              <w:b/>
              <w:sz w:val="28"/>
              <w:szCs w:val="28"/>
            </w:rPr>
            <w:instrText xml:space="preserve"> PAGEREF _Toc19251 </w:instrText>
          </w:r>
          <w:r>
            <w:rPr>
              <w:b/>
              <w:sz w:val="28"/>
              <w:szCs w:val="28"/>
            </w:rPr>
            <w:fldChar w:fldCharType="separate"/>
          </w:r>
          <w:r>
            <w:rPr>
              <w:b/>
              <w:sz w:val="28"/>
              <w:szCs w:val="28"/>
            </w:rPr>
            <w:t>29</w:t>
          </w:r>
          <w:r>
            <w:rPr>
              <w:b/>
              <w:sz w:val="28"/>
              <w:szCs w:val="28"/>
            </w:rPr>
            <w:fldChar w:fldCharType="end"/>
          </w:r>
          <w:r>
            <w:rPr>
              <w:b/>
              <w:sz w:val="28"/>
              <w:szCs w:val="28"/>
            </w:rPr>
            <w:fldChar w:fldCharType="end"/>
          </w:r>
        </w:p>
        <w:p>
          <w:pPr>
            <w:pStyle w:val="21"/>
            <w:tabs>
              <w:tab w:val="right" w:leader="dot" w:pos="8306"/>
            </w:tabs>
            <w:rPr>
              <w:b/>
            </w:rPr>
          </w:pPr>
        </w:p>
        <w:p>
          <w:pPr/>
          <w:r>
            <w:rPr>
              <w:b/>
            </w:rPr>
            <w:fldChar w:fldCharType="end"/>
          </w:r>
        </w:p>
      </w:sdtContent>
    </w:sdt>
    <w:p>
      <w:pPr>
        <w:overflowPunct w:val="0"/>
        <w:adjustRightInd w:val="0"/>
        <w:snapToGrid w:val="0"/>
        <w:spacing w:line="500" w:lineRule="exact"/>
        <w:jc w:val="center"/>
        <w:outlineLvl w:val="0"/>
        <w:rPr>
          <w:rFonts w:eastAsia="仿宋_GB2312"/>
          <w:b/>
          <w:color w:val="auto"/>
          <w:sz w:val="36"/>
          <w:szCs w:val="32"/>
        </w:rPr>
      </w:pPr>
      <w:bookmarkStart w:id="3" w:name="_Toc15436"/>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eastAsia="仿宋_GB2312"/>
          <w:b/>
          <w:color w:val="auto"/>
          <w:sz w:val="36"/>
          <w:szCs w:val="32"/>
        </w:rPr>
      </w:pPr>
    </w:p>
    <w:p>
      <w:pPr>
        <w:overflowPunct w:val="0"/>
        <w:adjustRightInd w:val="0"/>
        <w:snapToGrid w:val="0"/>
        <w:spacing w:line="500" w:lineRule="exact"/>
        <w:jc w:val="center"/>
        <w:outlineLvl w:val="0"/>
        <w:rPr>
          <w:rFonts w:hint="eastAsia" w:eastAsia="仿宋_GB2312"/>
          <w:b/>
          <w:color w:val="auto"/>
          <w:sz w:val="36"/>
          <w:szCs w:val="32"/>
        </w:rPr>
      </w:pPr>
      <w:r>
        <w:rPr>
          <w:rFonts w:eastAsia="仿宋_GB2312"/>
          <w:b/>
          <w:color w:val="auto"/>
          <w:sz w:val="36"/>
          <w:szCs w:val="32"/>
        </w:rPr>
        <w:t>20</w:t>
      </w:r>
      <w:r>
        <w:rPr>
          <w:rFonts w:hint="eastAsia" w:eastAsia="仿宋_GB2312"/>
          <w:b/>
          <w:color w:val="auto"/>
          <w:sz w:val="36"/>
          <w:szCs w:val="32"/>
        </w:rPr>
        <w:t>1</w:t>
      </w:r>
      <w:r>
        <w:rPr>
          <w:rFonts w:hint="eastAsia" w:eastAsia="仿宋_GB2312"/>
          <w:b/>
          <w:color w:val="auto"/>
          <w:sz w:val="36"/>
          <w:szCs w:val="32"/>
          <w:lang w:eastAsia="zh-CN"/>
        </w:rPr>
        <w:t>9</w:t>
      </w:r>
      <w:r>
        <w:rPr>
          <w:rFonts w:eastAsia="仿宋_GB2312"/>
          <w:b/>
          <w:color w:val="auto"/>
          <w:sz w:val="36"/>
          <w:szCs w:val="32"/>
        </w:rPr>
        <w:t>年</w:t>
      </w:r>
      <w:r>
        <w:rPr>
          <w:rFonts w:hint="eastAsia" w:eastAsia="仿宋_GB2312"/>
          <w:b/>
          <w:color w:val="auto"/>
          <w:sz w:val="36"/>
          <w:szCs w:val="32"/>
          <w:lang w:val="en-US" w:eastAsia="zh-CN"/>
        </w:rPr>
        <w:t>重点项目立法经费</w:t>
      </w:r>
      <w:r>
        <w:rPr>
          <w:rFonts w:hint="eastAsia" w:eastAsia="仿宋_GB2312"/>
          <w:b/>
          <w:color w:val="auto"/>
          <w:sz w:val="36"/>
          <w:szCs w:val="32"/>
        </w:rPr>
        <w:t>专项资金</w:t>
      </w:r>
      <w:bookmarkEnd w:id="0"/>
      <w:bookmarkEnd w:id="1"/>
      <w:bookmarkEnd w:id="2"/>
      <w:bookmarkEnd w:id="3"/>
    </w:p>
    <w:p>
      <w:pPr>
        <w:jc w:val="center"/>
        <w:outlineLvl w:val="0"/>
        <w:rPr>
          <w:rFonts w:hint="eastAsia" w:ascii="仿宋_GB2312" w:hAnsi="仿宋_GB2312" w:eastAsia="仿宋_GB2312" w:cs="仿宋_GB2312"/>
          <w:sz w:val="28"/>
          <w:szCs w:val="28"/>
        </w:rPr>
      </w:pPr>
      <w:bookmarkStart w:id="4" w:name="_Toc8329"/>
      <w:bookmarkStart w:id="5" w:name="_Toc9772"/>
      <w:bookmarkStart w:id="6" w:name="_Toc1686"/>
      <w:bookmarkStart w:id="7" w:name="_Toc29784"/>
      <w:r>
        <w:rPr>
          <w:rFonts w:eastAsia="仿宋_GB2312"/>
          <w:b/>
          <w:color w:val="auto"/>
          <w:sz w:val="36"/>
          <w:szCs w:val="32"/>
        </w:rPr>
        <w:t>绩效评价</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按照《甘肃省财政厅关于开展2019年度省级预算执行情况绩效评价工作的通知》</w:t>
      </w:r>
      <w:r>
        <w:rPr>
          <w:rFonts w:hint="eastAsia" w:ascii="仿宋" w:hAnsi="仿宋" w:eastAsia="仿宋" w:cs="仿宋"/>
          <w:kern w:val="0"/>
          <w:sz w:val="30"/>
          <w:szCs w:val="30"/>
        </w:rPr>
        <w:t>（</w:t>
      </w:r>
      <w:r>
        <w:rPr>
          <w:rFonts w:hint="eastAsia" w:ascii="仿宋" w:hAnsi="仿宋" w:eastAsia="仿宋" w:cs="仿宋"/>
          <w:kern w:val="0"/>
          <w:sz w:val="30"/>
          <w:szCs w:val="30"/>
          <w:lang w:val="en-US" w:eastAsia="zh-CN"/>
        </w:rPr>
        <w:t>甘财绩</w:t>
      </w:r>
      <w:r>
        <w:rPr>
          <w:rFonts w:hint="eastAsia" w:ascii="仿宋" w:hAnsi="仿宋" w:eastAsia="仿宋" w:cs="仿宋"/>
          <w:kern w:val="0"/>
          <w:sz w:val="30"/>
          <w:szCs w:val="30"/>
        </w:rPr>
        <w:t>〔</w:t>
      </w:r>
      <w:r>
        <w:rPr>
          <w:rFonts w:hint="eastAsia" w:ascii="仿宋" w:hAnsi="仿宋" w:eastAsia="仿宋" w:cs="仿宋"/>
          <w:kern w:val="0"/>
          <w:sz w:val="30"/>
          <w:szCs w:val="30"/>
          <w:lang w:val="en-US" w:eastAsia="zh-CN"/>
        </w:rPr>
        <w:t>2020</w:t>
      </w:r>
      <w:r>
        <w:rPr>
          <w:rFonts w:hint="eastAsia" w:ascii="仿宋" w:hAnsi="仿宋" w:eastAsia="仿宋" w:cs="仿宋"/>
          <w:kern w:val="0"/>
          <w:sz w:val="30"/>
          <w:szCs w:val="30"/>
        </w:rPr>
        <w:t>〕</w:t>
      </w:r>
      <w:r>
        <w:rPr>
          <w:rFonts w:hint="eastAsia" w:ascii="仿宋" w:hAnsi="仿宋" w:eastAsia="仿宋" w:cs="仿宋"/>
          <w:kern w:val="0"/>
          <w:sz w:val="30"/>
          <w:szCs w:val="30"/>
          <w:lang w:val="en-US" w:eastAsia="zh-CN"/>
        </w:rPr>
        <w:t>3</w:t>
      </w:r>
      <w:r>
        <w:rPr>
          <w:rFonts w:hint="eastAsia" w:ascii="仿宋" w:hAnsi="仿宋" w:eastAsia="仿宋" w:cs="仿宋"/>
          <w:kern w:val="0"/>
          <w:sz w:val="30"/>
          <w:szCs w:val="30"/>
        </w:rPr>
        <w:t>号）</w:t>
      </w:r>
      <w:r>
        <w:rPr>
          <w:rFonts w:hint="eastAsia" w:ascii="仿宋" w:hAnsi="仿宋" w:eastAsia="仿宋" w:cs="仿宋"/>
          <w:sz w:val="30"/>
          <w:szCs w:val="30"/>
          <w:lang w:val="en-US" w:eastAsia="zh-CN"/>
        </w:rPr>
        <w:t>要求，</w:t>
      </w:r>
      <w:r>
        <w:rPr>
          <w:rFonts w:hint="eastAsia" w:ascii="仿宋" w:hAnsi="仿宋" w:eastAsia="仿宋" w:cs="仿宋"/>
          <w:color w:val="auto"/>
          <w:sz w:val="30"/>
          <w:szCs w:val="30"/>
        </w:rPr>
        <w:t>为考察</w:t>
      </w:r>
      <w:r>
        <w:rPr>
          <w:rFonts w:hint="eastAsia" w:ascii="仿宋" w:hAnsi="仿宋" w:eastAsia="仿宋" w:cs="仿宋"/>
          <w:color w:val="auto"/>
          <w:sz w:val="30"/>
          <w:szCs w:val="30"/>
          <w:lang w:val="en-US" w:eastAsia="zh-CN"/>
        </w:rPr>
        <w:t>甘肃省人民代表大会常务委员会立法经费</w:t>
      </w:r>
      <w:r>
        <w:rPr>
          <w:rFonts w:hint="eastAsia" w:ascii="仿宋" w:hAnsi="仿宋" w:eastAsia="仿宋" w:cs="仿宋"/>
          <w:color w:val="auto"/>
          <w:sz w:val="30"/>
          <w:szCs w:val="30"/>
        </w:rPr>
        <w:t>项目实施情况和资金使用效果，</w:t>
      </w:r>
      <w:r>
        <w:rPr>
          <w:rFonts w:hint="eastAsia" w:ascii="仿宋" w:hAnsi="仿宋" w:eastAsia="仿宋" w:cs="仿宋"/>
          <w:sz w:val="30"/>
          <w:szCs w:val="30"/>
          <w:lang w:val="en-US" w:eastAsia="zh-CN"/>
        </w:rPr>
        <w:t>现将2019年度立法经费专项资金绩效报告如下：</w:t>
      </w:r>
    </w:p>
    <w:p>
      <w:pPr>
        <w:keepNext w:val="0"/>
        <w:keepLines w:val="0"/>
        <w:pageBreakBefore w:val="0"/>
        <w:widowControl w:val="0"/>
        <w:numPr>
          <w:ilvl w:val="0"/>
          <w:numId w:val="1"/>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val="en-US" w:eastAsia="zh-CN"/>
        </w:rPr>
      </w:pPr>
      <w:bookmarkStart w:id="8" w:name="_Toc364"/>
      <w:bookmarkStart w:id="9" w:name="_Toc27983"/>
      <w:bookmarkStart w:id="10" w:name="_Toc12351"/>
      <w:bookmarkStart w:id="11" w:name="_Toc211"/>
      <w:r>
        <w:rPr>
          <w:rFonts w:hint="eastAsia" w:ascii="仿宋" w:hAnsi="仿宋" w:eastAsia="仿宋" w:cs="仿宋"/>
          <w:b/>
          <w:bCs/>
          <w:sz w:val="30"/>
          <w:szCs w:val="30"/>
          <w:lang w:val="en-US" w:eastAsia="zh-CN"/>
        </w:rPr>
        <w:t>项目基本情况</w:t>
      </w:r>
      <w:bookmarkEnd w:id="8"/>
      <w:bookmarkEnd w:id="9"/>
      <w:bookmarkEnd w:id="10"/>
      <w:bookmarkEnd w:id="11"/>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1"/>
        <w:rPr>
          <w:rFonts w:hint="eastAsia" w:ascii="仿宋" w:hAnsi="仿宋" w:eastAsia="仿宋" w:cs="仿宋"/>
          <w:b/>
          <w:bCs/>
          <w:sz w:val="30"/>
          <w:szCs w:val="30"/>
          <w:lang w:val="en-US" w:eastAsia="zh-CN"/>
        </w:rPr>
      </w:pPr>
      <w:bookmarkStart w:id="12" w:name="_Toc24210"/>
      <w:bookmarkStart w:id="13" w:name="_Toc24251"/>
      <w:bookmarkStart w:id="14" w:name="_Toc22229"/>
      <w:bookmarkStart w:id="15" w:name="_Toc11213"/>
      <w:r>
        <w:rPr>
          <w:rFonts w:hint="eastAsia" w:ascii="仿宋" w:hAnsi="仿宋" w:eastAsia="仿宋" w:cs="仿宋"/>
          <w:b/>
          <w:bCs/>
          <w:sz w:val="30"/>
          <w:szCs w:val="30"/>
          <w:lang w:val="en-US" w:eastAsia="zh-CN"/>
        </w:rPr>
        <w:t>（一）项目概况</w:t>
      </w:r>
      <w:bookmarkEnd w:id="12"/>
      <w:bookmarkEnd w:id="13"/>
      <w:bookmarkEnd w:id="14"/>
      <w:bookmarkEnd w:id="15"/>
    </w:p>
    <w:p>
      <w:pPr>
        <w:spacing w:line="500" w:lineRule="exact"/>
        <w:ind w:firstLine="560" w:firstLineChars="200"/>
        <w:outlineLvl w:val="2"/>
        <w:rPr>
          <w:rFonts w:hint="eastAsia" w:eastAsia="仿宋_GB2312"/>
          <w:b w:val="0"/>
          <w:bCs w:val="0"/>
          <w:color w:val="auto"/>
          <w:sz w:val="28"/>
          <w:szCs w:val="28"/>
          <w:lang w:val="en-US" w:eastAsia="zh-CN"/>
        </w:rPr>
      </w:pPr>
      <w:bookmarkStart w:id="16" w:name="_Toc13797"/>
      <w:bookmarkStart w:id="17" w:name="_Toc20078"/>
      <w:r>
        <w:rPr>
          <w:rFonts w:hint="eastAsia" w:eastAsia="仿宋_GB2312"/>
          <w:b w:val="0"/>
          <w:bCs w:val="0"/>
          <w:color w:val="auto"/>
          <w:sz w:val="28"/>
          <w:szCs w:val="28"/>
          <w:lang w:val="en-US" w:eastAsia="zh-CN"/>
        </w:rPr>
        <w:t>1、项目背景</w:t>
      </w:r>
      <w:bookmarkEnd w:id="16"/>
      <w:bookmarkEnd w:id="17"/>
    </w:p>
    <w:p>
      <w:pPr>
        <w:pStyle w:val="17"/>
        <w:ind w:firstLine="560"/>
        <w:rPr>
          <w:rFonts w:hint="eastAsia"/>
          <w:color w:val="auto"/>
        </w:rPr>
      </w:pPr>
      <w:r>
        <w:rPr>
          <w:rFonts w:hint="eastAsia"/>
          <w:color w:val="auto"/>
        </w:rPr>
        <w:t>十九大报告指出，党的领导是人民当家作主和依法治国的根本保证，人民当家作主是社会主义民主政治的本质特征，依法治国是党领导人民治理国家的基本方式，三者统一于我国社会主义民主政治伟大实践。全国依法治国是国家治理的一场深刻革命，必须坚持厉行法治。我们要推进科学立法、严格执法、公正司法、全民守法。加强宪法实施和监督，推进全宪法性审查工作，维护宪法权威。推进科学立法、民主立法、依法立法、以良法促进发展、保障善治。建设法治政府，推进依法行政，严格规范公正文明执法。加大全民普法力度，建设社会主义法治文化，树立宪法法律至上、法律面前人人平等的法治理念。</w:t>
      </w:r>
    </w:p>
    <w:p>
      <w:pPr>
        <w:pStyle w:val="17"/>
        <w:ind w:firstLine="560"/>
        <w:rPr>
          <w:rFonts w:hint="eastAsia"/>
          <w:color w:val="auto"/>
        </w:rPr>
      </w:pPr>
      <w:r>
        <w:rPr>
          <w:rFonts w:hint="eastAsia"/>
          <w:color w:val="auto"/>
        </w:rPr>
        <w:t>人民代表大会制度是坚持党的领导、人民当家作主、依法治国有机统一的根本政治制度安排，必须长期坚持、不断完善。要保证人民通过人民代表大会行使国家权力。</w:t>
      </w:r>
      <w:r>
        <w:rPr>
          <w:rFonts w:hint="eastAsia"/>
          <w:color w:val="auto"/>
          <w:lang w:val="en-US" w:eastAsia="zh-CN"/>
        </w:rPr>
        <w:t>因此，必须</w:t>
      </w:r>
      <w:r>
        <w:rPr>
          <w:rFonts w:hint="eastAsia"/>
          <w:color w:val="auto"/>
        </w:rPr>
        <w:t>发挥人大及其常委会在立法工作中的主导作用，健全人大级组织制度和工作制度，</w:t>
      </w:r>
      <w:r>
        <w:rPr>
          <w:rFonts w:hint="eastAsia"/>
          <w:color w:val="auto"/>
          <w:lang w:val="en-US" w:eastAsia="zh-CN"/>
        </w:rPr>
        <w:t>全面保障</w:t>
      </w:r>
      <w:r>
        <w:rPr>
          <w:rFonts w:hint="eastAsia"/>
          <w:color w:val="auto"/>
        </w:rPr>
        <w:t>人大依法行使立法权、监督权、决定权、任免权，更好</w:t>
      </w:r>
      <w:r>
        <w:rPr>
          <w:rFonts w:hint="eastAsia"/>
          <w:color w:val="auto"/>
          <w:lang w:val="en-US" w:eastAsia="zh-CN"/>
        </w:rPr>
        <w:t>地</w:t>
      </w:r>
      <w:r>
        <w:rPr>
          <w:rFonts w:hint="eastAsia"/>
          <w:color w:val="auto"/>
        </w:rPr>
        <w:t>发挥人大代表作用，使各级人大及其常委会成为全面担负起宪法法律赋予的各项职责的工作机关，成为同人民群众保持密切联系的代表机关。</w:t>
      </w:r>
    </w:p>
    <w:p>
      <w:pPr>
        <w:spacing w:line="500" w:lineRule="exact"/>
        <w:ind w:firstLine="560" w:firstLineChars="200"/>
        <w:outlineLvl w:val="2"/>
        <w:rPr>
          <w:rFonts w:hint="eastAsia" w:eastAsia="仿宋_GB2312"/>
          <w:b w:val="0"/>
          <w:bCs w:val="0"/>
          <w:color w:val="auto"/>
          <w:sz w:val="28"/>
          <w:szCs w:val="28"/>
        </w:rPr>
      </w:pPr>
      <w:bookmarkStart w:id="18" w:name="_Toc11515"/>
      <w:bookmarkStart w:id="19" w:name="_Toc5307"/>
      <w:r>
        <w:rPr>
          <w:rFonts w:hint="eastAsia" w:eastAsia="仿宋_GB2312"/>
          <w:b w:val="0"/>
          <w:bCs w:val="0"/>
          <w:color w:val="auto"/>
          <w:sz w:val="28"/>
          <w:szCs w:val="28"/>
        </w:rPr>
        <w:t>2. 项目内容</w:t>
      </w:r>
      <w:bookmarkEnd w:id="18"/>
      <w:bookmarkEnd w:id="19"/>
    </w:p>
    <w:p>
      <w:pPr>
        <w:ind w:firstLine="640"/>
        <w:jc w:val="both"/>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olor w:val="auto"/>
          <w:kern w:val="0"/>
          <w:sz w:val="28"/>
          <w:szCs w:val="28"/>
        </w:rPr>
        <w:t>2019年，</w:t>
      </w:r>
      <w:r>
        <w:rPr>
          <w:rFonts w:hint="eastAsia" w:ascii="Times New Roman" w:hAnsi="Times New Roman" w:eastAsia="仿宋_GB2312"/>
          <w:color w:val="auto"/>
          <w:kern w:val="0"/>
          <w:sz w:val="28"/>
          <w:szCs w:val="28"/>
          <w:lang w:val="en-US" w:eastAsia="zh-CN"/>
        </w:rPr>
        <w:t>甘肃</w:t>
      </w:r>
      <w:r>
        <w:rPr>
          <w:rFonts w:hint="eastAsia" w:ascii="Times New Roman" w:hAnsi="Times New Roman" w:eastAsia="仿宋_GB2312"/>
          <w:color w:val="auto"/>
          <w:kern w:val="0"/>
          <w:sz w:val="28"/>
          <w:szCs w:val="28"/>
        </w:rPr>
        <w:t>省人大常委会办公厅在常委会党组、机关党组的领导下，以习近平新时代中国特色社会主义思想为指导，全面贯彻党的十九大及十九届二中、三中、四中全会精神，深入学习贯彻习近平总书记关于坚持和完善人民代表大会制度的重要思想及对甘肃重要讲话和指示精神，</w:t>
      </w:r>
      <w:r>
        <w:rPr>
          <w:rFonts w:hint="eastAsia" w:ascii="Times New Roman" w:hAnsi="Times New Roman" w:eastAsia="仿宋_GB2312"/>
          <w:color w:val="auto"/>
          <w:kern w:val="0"/>
          <w:sz w:val="28"/>
          <w:szCs w:val="28"/>
          <w:lang w:val="en-US" w:eastAsia="zh-CN"/>
        </w:rPr>
        <w:t>切实落实好省人大常委会立法职责。</w:t>
      </w:r>
      <w:r>
        <w:rPr>
          <w:rFonts w:hint="eastAsia" w:ascii="Times New Roman" w:hAnsi="Times New Roman" w:eastAsia="仿宋_GB2312" w:cs="Times New Roman"/>
          <w:color w:val="auto"/>
          <w:kern w:val="0"/>
          <w:sz w:val="28"/>
          <w:szCs w:val="28"/>
          <w:lang w:val="en-US" w:eastAsia="zh-CN"/>
        </w:rPr>
        <w:t>此专项经费的设立主要包括四个方面的具体工作任务经费：“陇原环保世纪行经费”、“人大司法监督工作专项经费”、“规范性文件备案审查经费”、“立法经费及法规清理专项经费”。</w:t>
      </w:r>
    </w:p>
    <w:p>
      <w:pPr>
        <w:ind w:firstLine="640"/>
        <w:jc w:val="both"/>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陇原环保世纪行经费”，陇原环保世纪行是中华环保世纪行在我省的延伸，是长期坚持开展的大型环境与资源保护宣传活动。贯彻落实中央和省委关于全面加强生态环境保护、坚决打好污染防治攻坚战的决策部署，按照加大力度、拓展深度、适度曝光、促进整改的总体思路，聚焦“碧水保卫战”主题，以更加坚定的信心、更加有力的举措，进一步加大宣传力度，为建设幸福美好新甘肃做出应有的贡献。此经费主要是用于配合、接待中华环保世纪行组委会及办公室、记者团开展活动；组织我省记者团培训、集中采访、暗访；组委会会议、全省年度工作总结表彰会议；评选、表彰奖励全省好新闻；表彰奖励全省先进单位、先进工作者，新闻影音资料汇编出版；组织环境资源保护公益活动，日常办公及公文办理、资料、宣传器材购置维护等支出；</w:t>
      </w:r>
    </w:p>
    <w:p>
      <w:pPr>
        <w:ind w:firstLine="640"/>
        <w:jc w:val="both"/>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人大司法监督工作专项经费”主要是用于保障召开对口联系单位和各市（州）、县（区）人大内务司法工作座谈会，专题研究监督工作，对换届后各市（州）、县（市、区）人大内务司法工作队伍进行专题培训；进一步加强对“两院”审判、检察工作的监督，及时掌握工作动态，购置案件审判监督管理流程软件系统和检察案件办理监督管理流程软件系统，以及系统的升级、维护等支出。</w:t>
      </w:r>
    </w:p>
    <w:p>
      <w:pPr>
        <w:ind w:firstLine="640"/>
        <w:jc w:val="both"/>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规范性文件备案审查经费”主要是为健全法规、规章、规范性文件备案审查制度，同时加强备案审查自制度和能力建设，把所有规范性文件纳入备案审查范围，依法撤销和纠正违宪违法的规范性文件，禁止地方制发带有立法性质的文件，中央办公厅专门下发文件，建立法规、规章和规范性文件备案审查衔接联动机制。此经费主要用于规范性文件备案审查和立法后评估费用支出。</w:t>
      </w:r>
    </w:p>
    <w:p>
      <w:pPr>
        <w:ind w:firstLine="640"/>
        <w:jc w:val="both"/>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立法经费及法规清理专项经费”主要用于①立法论证支出，包括制定修改、批准地方性法规专家论证会、座谈会、听证会等费用支出；②公众参与地方性立法支出；③地方性立法调研支出；④地方性法规起草支出；⑤地方性法规委托起草支出；⑥地方性法规的普及宣传活动及配合省上统一开展的普法活动支出；⑦法规文本及释义、法规汇编、法制参考等书籍的出版印刷费支出；⑧地方性立法办公自动化、网络化实施经费以及法规数据库的建设和维护费用支出。</w:t>
      </w:r>
    </w:p>
    <w:p>
      <w:pPr>
        <w:numPr>
          <w:ilvl w:val="0"/>
          <w:numId w:val="2"/>
        </w:numPr>
        <w:ind w:firstLine="560" w:firstLineChars="200"/>
        <w:outlineLvl w:val="2"/>
        <w:rPr>
          <w:rFonts w:hint="eastAsia" w:ascii="Times New Roman" w:hAnsi="Times New Roman" w:eastAsia="仿宋_GB2312" w:cs="Times New Roman"/>
          <w:b w:val="0"/>
          <w:bCs w:val="0"/>
          <w:color w:val="auto"/>
          <w:kern w:val="0"/>
          <w:sz w:val="28"/>
          <w:szCs w:val="28"/>
          <w:lang w:val="en-US" w:eastAsia="zh-CN"/>
        </w:rPr>
      </w:pPr>
      <w:bookmarkStart w:id="20" w:name="_Toc11428"/>
      <w:bookmarkStart w:id="21" w:name="_Toc9387"/>
      <w:r>
        <w:rPr>
          <w:rFonts w:hint="eastAsia" w:ascii="Times New Roman" w:hAnsi="Times New Roman" w:eastAsia="仿宋_GB2312" w:cs="Times New Roman"/>
          <w:b w:val="0"/>
          <w:bCs w:val="0"/>
          <w:color w:val="auto"/>
          <w:kern w:val="0"/>
          <w:sz w:val="28"/>
          <w:szCs w:val="28"/>
          <w:lang w:val="en-US" w:eastAsia="zh-CN"/>
        </w:rPr>
        <w:t>资金投入和使用情况</w:t>
      </w:r>
      <w:bookmarkEnd w:id="20"/>
      <w:bookmarkEnd w:id="21"/>
    </w:p>
    <w:p>
      <w:pPr>
        <w:spacing w:line="500" w:lineRule="exact"/>
        <w:ind w:firstLine="560" w:firstLineChars="200"/>
        <w:rPr>
          <w:rFonts w:hint="eastAsia" w:eastAsia="仿宋_GB2312"/>
          <w:color w:val="auto"/>
          <w:kern w:val="0"/>
          <w:sz w:val="28"/>
          <w:szCs w:val="28"/>
        </w:rPr>
      </w:pPr>
      <w:r>
        <w:rPr>
          <w:rFonts w:hint="eastAsia" w:eastAsia="仿宋_GB2312"/>
          <w:color w:val="auto"/>
          <w:kern w:val="0"/>
          <w:sz w:val="28"/>
          <w:szCs w:val="28"/>
        </w:rPr>
        <w:t>201</w:t>
      </w:r>
      <w:r>
        <w:rPr>
          <w:rFonts w:hint="eastAsia" w:eastAsia="仿宋_GB2312"/>
          <w:color w:val="auto"/>
          <w:kern w:val="0"/>
          <w:sz w:val="28"/>
          <w:szCs w:val="28"/>
          <w:lang w:eastAsia="zh-CN"/>
        </w:rPr>
        <w:t>9</w:t>
      </w:r>
      <w:r>
        <w:rPr>
          <w:rFonts w:hint="eastAsia" w:eastAsia="仿宋_GB2312"/>
          <w:color w:val="auto"/>
          <w:kern w:val="0"/>
          <w:sz w:val="28"/>
          <w:szCs w:val="28"/>
        </w:rPr>
        <w:t>年</w:t>
      </w:r>
      <w:r>
        <w:rPr>
          <w:rFonts w:hint="eastAsia" w:eastAsia="仿宋_GB2312"/>
          <w:color w:val="auto"/>
          <w:kern w:val="0"/>
          <w:sz w:val="28"/>
          <w:szCs w:val="28"/>
          <w:lang w:val="en-US" w:eastAsia="zh-CN"/>
        </w:rPr>
        <w:t>甘肃省</w:t>
      </w:r>
      <w:r>
        <w:rPr>
          <w:rFonts w:hint="eastAsia" w:ascii="Calibri" w:hAnsi="Calibri" w:eastAsia="仿宋_GB2312" w:cs="Times New Roman"/>
          <w:color w:val="auto"/>
          <w:kern w:val="0"/>
          <w:sz w:val="28"/>
          <w:szCs w:val="28"/>
          <w:lang w:val="en-US" w:eastAsia="zh-CN"/>
        </w:rPr>
        <w:t>人大常委会办公厅项目支出中立法经费批复数为420万。</w:t>
      </w:r>
      <w:r>
        <w:rPr>
          <w:rFonts w:hint="eastAsia" w:eastAsia="仿宋_GB2312"/>
          <w:color w:val="auto"/>
          <w:kern w:val="0"/>
          <w:sz w:val="28"/>
          <w:szCs w:val="28"/>
        </w:rPr>
        <w:t>由</w:t>
      </w:r>
      <w:r>
        <w:rPr>
          <w:rFonts w:hint="eastAsia" w:eastAsia="仿宋_GB2312"/>
          <w:color w:val="auto"/>
          <w:kern w:val="0"/>
          <w:sz w:val="28"/>
          <w:szCs w:val="28"/>
          <w:lang w:val="en-US" w:eastAsia="zh-CN"/>
        </w:rPr>
        <w:t>甘肃省</w:t>
      </w:r>
      <w:r>
        <w:rPr>
          <w:rFonts w:hint="eastAsia" w:eastAsia="仿宋_GB2312"/>
          <w:color w:val="auto"/>
          <w:kern w:val="0"/>
          <w:sz w:val="28"/>
          <w:szCs w:val="28"/>
        </w:rPr>
        <w:t>财</w:t>
      </w:r>
      <w:r>
        <w:rPr>
          <w:rFonts w:hint="eastAsia" w:eastAsia="仿宋_GB2312"/>
          <w:color w:val="auto"/>
          <w:kern w:val="0"/>
          <w:sz w:val="28"/>
          <w:szCs w:val="28"/>
          <w:lang w:val="en-US" w:eastAsia="zh-CN"/>
        </w:rPr>
        <w:t>厅</w:t>
      </w:r>
      <w:r>
        <w:rPr>
          <w:rFonts w:hint="eastAsia" w:eastAsia="仿宋_GB2312"/>
          <w:color w:val="auto"/>
          <w:kern w:val="0"/>
          <w:sz w:val="28"/>
          <w:szCs w:val="28"/>
        </w:rPr>
        <w:t>足额</w:t>
      </w:r>
      <w:r>
        <w:rPr>
          <w:rFonts w:hint="eastAsia" w:eastAsia="仿宋_GB2312"/>
          <w:color w:val="auto"/>
          <w:kern w:val="0"/>
          <w:sz w:val="28"/>
          <w:szCs w:val="28"/>
          <w:lang w:val="en-US" w:eastAsia="zh-CN"/>
        </w:rPr>
        <w:t>拨</w:t>
      </w:r>
      <w:r>
        <w:rPr>
          <w:rFonts w:hint="eastAsia" w:eastAsia="仿宋_GB2312"/>
          <w:color w:val="auto"/>
          <w:kern w:val="0"/>
          <w:sz w:val="28"/>
          <w:szCs w:val="28"/>
        </w:rPr>
        <w:t>到</w:t>
      </w:r>
      <w:r>
        <w:rPr>
          <w:rFonts w:hint="eastAsia" w:eastAsia="仿宋_GB2312"/>
          <w:color w:val="auto"/>
          <w:kern w:val="0"/>
          <w:sz w:val="28"/>
          <w:szCs w:val="28"/>
          <w:lang w:val="en-US" w:eastAsia="zh-CN"/>
        </w:rPr>
        <w:t>甘肃省人大常委会</w:t>
      </w:r>
      <w:r>
        <w:rPr>
          <w:rFonts w:hint="eastAsia" w:eastAsia="仿宋_GB2312"/>
          <w:color w:val="auto"/>
          <w:kern w:val="0"/>
          <w:sz w:val="28"/>
          <w:szCs w:val="28"/>
        </w:rPr>
        <w:t>。按照</w:t>
      </w:r>
      <w:r>
        <w:rPr>
          <w:rFonts w:hint="eastAsia" w:eastAsia="仿宋_GB2312"/>
          <w:color w:val="auto"/>
          <w:kern w:val="0"/>
          <w:sz w:val="28"/>
          <w:szCs w:val="28"/>
          <w:lang w:val="en-US" w:eastAsia="zh-CN"/>
        </w:rPr>
        <w:t>省人大常委会</w:t>
      </w:r>
      <w:r>
        <w:rPr>
          <w:rFonts w:hint="eastAsia" w:eastAsia="仿宋_GB2312"/>
          <w:color w:val="auto"/>
          <w:kern w:val="0"/>
          <w:sz w:val="28"/>
          <w:szCs w:val="28"/>
        </w:rPr>
        <w:t>全年度计划安排实施。</w:t>
      </w:r>
      <w:r>
        <w:rPr>
          <w:rFonts w:hint="eastAsia" w:eastAsia="仿宋_GB2312" w:cs="Times New Roman"/>
          <w:color w:val="auto"/>
          <w:kern w:val="0"/>
          <w:sz w:val="28"/>
          <w:szCs w:val="28"/>
          <w:lang w:val="en-US" w:eastAsia="zh-CN"/>
        </w:rPr>
        <w:t>截止2019年12月31日，项目资金已全部使用完毕，项目结余数为0，预算执行率为100%。</w:t>
      </w:r>
      <w:r>
        <w:rPr>
          <w:rFonts w:hint="eastAsia" w:eastAsia="仿宋_GB2312"/>
          <w:color w:val="auto"/>
          <w:kern w:val="0"/>
          <w:sz w:val="28"/>
          <w:szCs w:val="28"/>
        </w:rPr>
        <w:t>具体资金分配情况见表1。</w:t>
      </w:r>
    </w:p>
    <w:p>
      <w:pPr>
        <w:pStyle w:val="18"/>
        <w:overflowPunct w:val="0"/>
        <w:adjustRightInd w:val="0"/>
        <w:snapToGrid w:val="0"/>
        <w:spacing w:line="360" w:lineRule="auto"/>
        <w:jc w:val="center"/>
        <w:rPr>
          <w:rFonts w:hint="eastAsia" w:eastAsia="仿宋_GB2312"/>
          <w:color w:val="auto"/>
          <w:kern w:val="2"/>
          <w:sz w:val="24"/>
          <w:szCs w:val="28"/>
        </w:rPr>
      </w:pPr>
      <w:r>
        <w:rPr>
          <w:rFonts w:hint="eastAsia"/>
          <w:color w:val="auto"/>
          <w:kern w:val="2"/>
        </w:rPr>
        <w:t>表1</w:t>
      </w:r>
      <w:r>
        <w:rPr>
          <w:rFonts w:hint="eastAsia"/>
          <w:color w:val="auto"/>
          <w:kern w:val="2"/>
          <w:lang w:val="en-US" w:eastAsia="zh-CN"/>
        </w:rPr>
        <w:t xml:space="preserve">. </w:t>
      </w:r>
      <w:r>
        <w:rPr>
          <w:rFonts w:hint="eastAsia"/>
          <w:color w:val="auto"/>
          <w:kern w:val="2"/>
        </w:rPr>
        <w:t xml:space="preserve"> </w:t>
      </w:r>
      <w:r>
        <w:rPr>
          <w:rFonts w:hint="eastAsia" w:eastAsia="仿宋_GB2312"/>
          <w:color w:val="auto"/>
          <w:kern w:val="2"/>
          <w:sz w:val="24"/>
          <w:szCs w:val="28"/>
        </w:rPr>
        <w:t>201</w:t>
      </w:r>
      <w:r>
        <w:rPr>
          <w:rFonts w:hint="eastAsia"/>
          <w:color w:val="auto"/>
          <w:kern w:val="2"/>
          <w:sz w:val="24"/>
          <w:szCs w:val="28"/>
          <w:lang w:eastAsia="zh-CN"/>
        </w:rPr>
        <w:t>9</w:t>
      </w:r>
      <w:r>
        <w:rPr>
          <w:rFonts w:hint="eastAsia" w:eastAsia="仿宋_GB2312"/>
          <w:color w:val="auto"/>
          <w:kern w:val="2"/>
          <w:sz w:val="24"/>
          <w:szCs w:val="28"/>
        </w:rPr>
        <w:t>年</w:t>
      </w:r>
      <w:r>
        <w:rPr>
          <w:rFonts w:hint="eastAsia"/>
          <w:color w:val="auto"/>
          <w:kern w:val="2"/>
          <w:sz w:val="24"/>
          <w:szCs w:val="28"/>
          <w:lang w:val="en-US" w:eastAsia="zh-CN"/>
        </w:rPr>
        <w:t>立法</w:t>
      </w:r>
      <w:r>
        <w:rPr>
          <w:rFonts w:hint="eastAsia" w:eastAsia="仿宋_GB2312"/>
          <w:color w:val="auto"/>
          <w:kern w:val="2"/>
          <w:sz w:val="24"/>
          <w:szCs w:val="28"/>
        </w:rPr>
        <w:t>专项资金</w:t>
      </w:r>
      <w:r>
        <w:rPr>
          <w:rFonts w:hint="eastAsia"/>
          <w:color w:val="auto"/>
          <w:kern w:val="2"/>
          <w:sz w:val="24"/>
          <w:szCs w:val="28"/>
          <w:lang w:val="en-US" w:eastAsia="zh-CN"/>
        </w:rPr>
        <w:t>计划</w:t>
      </w:r>
      <w:r>
        <w:rPr>
          <w:rFonts w:hint="eastAsia" w:eastAsia="仿宋_GB2312"/>
          <w:color w:val="auto"/>
          <w:kern w:val="2"/>
          <w:sz w:val="24"/>
          <w:szCs w:val="28"/>
        </w:rPr>
        <w:t xml:space="preserve">分配表 </w:t>
      </w:r>
    </w:p>
    <w:p>
      <w:pPr>
        <w:pStyle w:val="18"/>
        <w:overflowPunct w:val="0"/>
        <w:adjustRightInd w:val="0"/>
        <w:snapToGrid w:val="0"/>
        <w:spacing w:before="0" w:after="0" w:line="360" w:lineRule="auto"/>
        <w:jc w:val="right"/>
        <w:rPr>
          <w:rFonts w:hint="eastAsia" w:ascii="Times New Roman" w:hAnsi="Times New Roman" w:cs="Times New Roman"/>
          <w:b w:val="0"/>
          <w:color w:val="auto"/>
          <w:kern w:val="2"/>
          <w:sz w:val="22"/>
          <w:szCs w:val="22"/>
        </w:rPr>
      </w:pPr>
      <w:r>
        <w:rPr>
          <w:rFonts w:hint="eastAsia" w:eastAsia="仿宋_GB2312"/>
          <w:b w:val="0"/>
          <w:color w:val="auto"/>
          <w:kern w:val="2"/>
          <w:sz w:val="22"/>
          <w:szCs w:val="22"/>
        </w:rPr>
        <w:t xml:space="preserve">                        单位：万元                                                                                                             </w:t>
      </w:r>
    </w:p>
    <w:tbl>
      <w:tblPr>
        <w:tblStyle w:val="1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6068"/>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3" w:type="dxa"/>
            <w:shd w:val="clear" w:color="auto" w:fill="BFBFBF"/>
            <w:vAlign w:val="center"/>
          </w:tcPr>
          <w:p>
            <w:pPr>
              <w:widowControl/>
              <w:overflowPunct/>
              <w:adjustRightInd/>
              <w:snapToGrid/>
              <w:spacing w:line="240" w:lineRule="auto"/>
              <w:jc w:val="center"/>
              <w:rPr>
                <w:rFonts w:hint="eastAsia"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序号</w:t>
            </w:r>
          </w:p>
        </w:tc>
        <w:tc>
          <w:tcPr>
            <w:tcW w:w="6068" w:type="dxa"/>
            <w:shd w:val="clear" w:color="auto" w:fill="BFBFBF"/>
            <w:vAlign w:val="center"/>
          </w:tcPr>
          <w:p>
            <w:pPr>
              <w:widowControl/>
              <w:overflowPunct/>
              <w:adjustRightInd/>
              <w:snapToGrid/>
              <w:spacing w:line="240" w:lineRule="auto"/>
              <w:jc w:val="center"/>
              <w:rPr>
                <w:rFonts w:hint="eastAsia"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项目名称</w:t>
            </w:r>
          </w:p>
        </w:tc>
        <w:tc>
          <w:tcPr>
            <w:tcW w:w="1299" w:type="dxa"/>
            <w:shd w:val="clear" w:color="auto" w:fill="BFBFBF"/>
            <w:vAlign w:val="center"/>
          </w:tcPr>
          <w:p>
            <w:pPr>
              <w:widowControl/>
              <w:overflowPunct/>
              <w:adjustRightInd/>
              <w:snapToGrid/>
              <w:spacing w:line="240" w:lineRule="auto"/>
              <w:jc w:val="center"/>
              <w:rPr>
                <w:rFonts w:hint="eastAsia" w:ascii="仿宋_GB2312" w:hAnsi="宋体" w:eastAsia="仿宋_GB2312" w:cs="宋体"/>
                <w:b/>
                <w:bCs/>
                <w:color w:val="auto"/>
                <w:kern w:val="0"/>
                <w:sz w:val="22"/>
                <w:szCs w:val="22"/>
              </w:rPr>
            </w:pPr>
            <w:r>
              <w:rPr>
                <w:rFonts w:hint="eastAsia" w:ascii="仿宋_GB2312" w:hAnsi="宋体" w:eastAsia="仿宋_GB2312" w:cs="宋体"/>
                <w:b/>
                <w:bCs/>
                <w:color w:val="auto"/>
                <w:kern w:val="0"/>
                <w:sz w:val="22"/>
                <w:szCs w:val="2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3" w:type="dxa"/>
            <w:vAlign w:val="center"/>
          </w:tcPr>
          <w:p>
            <w:pPr>
              <w:widowControl/>
              <w:overflowPunct/>
              <w:adjustRightInd/>
              <w:snapToGrid/>
              <w:spacing w:line="240" w:lineRule="auto"/>
              <w:jc w:val="center"/>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rPr>
              <w:t>1</w:t>
            </w:r>
          </w:p>
        </w:tc>
        <w:tc>
          <w:tcPr>
            <w:tcW w:w="6068" w:type="dxa"/>
            <w:vAlign w:val="center"/>
          </w:tcPr>
          <w:p>
            <w:pPr>
              <w:widowControl/>
              <w:overflowPunct/>
              <w:adjustRightInd/>
              <w:snapToGrid/>
              <w:spacing w:line="240" w:lineRule="auto"/>
              <w:jc w:val="both"/>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lang w:val="en-US" w:eastAsia="zh-CN"/>
              </w:rPr>
              <w:t>陇原环保世纪行经费</w:t>
            </w:r>
          </w:p>
        </w:tc>
        <w:tc>
          <w:tcPr>
            <w:tcW w:w="1299" w:type="dxa"/>
            <w:vAlign w:val="center"/>
          </w:tcPr>
          <w:p>
            <w:pPr>
              <w:widowControl/>
              <w:overflowPunct/>
              <w:adjustRightInd/>
              <w:snapToGrid/>
              <w:spacing w:line="240" w:lineRule="auto"/>
              <w:jc w:val="center"/>
              <w:rPr>
                <w:rFonts w:hint="default"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lang w:eastAsia="zh-CN"/>
              </w:rPr>
              <w:t>4</w:t>
            </w:r>
            <w:r>
              <w:rPr>
                <w:rFonts w:hint="eastAsia" w:ascii="仿宋_GB2312" w:hAnsi="宋体" w:eastAsia="仿宋_GB2312" w:cs="宋体"/>
                <w:bCs/>
                <w:color w:val="auto"/>
                <w:kern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3" w:type="dxa"/>
            <w:vAlign w:val="center"/>
          </w:tcPr>
          <w:p>
            <w:pPr>
              <w:widowControl/>
              <w:overflowPunct/>
              <w:adjustRightInd/>
              <w:snapToGrid/>
              <w:spacing w:line="240" w:lineRule="auto"/>
              <w:jc w:val="center"/>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rPr>
              <w:t>2</w:t>
            </w:r>
          </w:p>
        </w:tc>
        <w:tc>
          <w:tcPr>
            <w:tcW w:w="6068" w:type="dxa"/>
            <w:vAlign w:val="center"/>
          </w:tcPr>
          <w:p>
            <w:pPr>
              <w:widowControl/>
              <w:overflowPunct/>
              <w:adjustRightInd/>
              <w:snapToGrid/>
              <w:spacing w:line="240" w:lineRule="auto"/>
              <w:jc w:val="both"/>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lang w:val="en-US" w:eastAsia="zh-CN"/>
              </w:rPr>
              <w:t>人大司法监督工作经费</w:t>
            </w:r>
          </w:p>
        </w:tc>
        <w:tc>
          <w:tcPr>
            <w:tcW w:w="1299" w:type="dxa"/>
            <w:vAlign w:val="center"/>
          </w:tcPr>
          <w:p>
            <w:pPr>
              <w:widowControl/>
              <w:overflowPunct/>
              <w:adjustRightInd/>
              <w:snapToGrid/>
              <w:spacing w:line="240" w:lineRule="auto"/>
              <w:jc w:val="center"/>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lang w:eastAsia="zh-CN"/>
              </w:rPr>
              <w:t>4</w:t>
            </w:r>
            <w:r>
              <w:rPr>
                <w:rFonts w:hint="eastAsia" w:ascii="仿宋_GB2312" w:hAnsi="宋体" w:eastAsia="仿宋_GB2312" w:cs="宋体"/>
                <w:bCs/>
                <w:color w:val="auto"/>
                <w:kern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3" w:type="dxa"/>
            <w:vAlign w:val="center"/>
          </w:tcPr>
          <w:p>
            <w:pPr>
              <w:widowControl/>
              <w:overflowPunct/>
              <w:adjustRightInd/>
              <w:snapToGrid/>
              <w:spacing w:line="240" w:lineRule="auto"/>
              <w:jc w:val="center"/>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rPr>
              <w:t>3</w:t>
            </w:r>
          </w:p>
        </w:tc>
        <w:tc>
          <w:tcPr>
            <w:tcW w:w="6068" w:type="dxa"/>
            <w:vAlign w:val="center"/>
          </w:tcPr>
          <w:p>
            <w:pPr>
              <w:widowControl/>
              <w:overflowPunct/>
              <w:adjustRightInd/>
              <w:snapToGrid/>
              <w:spacing w:line="240" w:lineRule="auto"/>
              <w:jc w:val="both"/>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rPr>
              <w:t>规范性文件备案审查经费</w:t>
            </w:r>
          </w:p>
        </w:tc>
        <w:tc>
          <w:tcPr>
            <w:tcW w:w="1299" w:type="dxa"/>
            <w:vAlign w:val="center"/>
          </w:tcPr>
          <w:p>
            <w:pPr>
              <w:widowControl/>
              <w:overflowPunct/>
              <w:adjustRightInd/>
              <w:snapToGrid/>
              <w:spacing w:line="240" w:lineRule="auto"/>
              <w:jc w:val="center"/>
              <w:rPr>
                <w:rFonts w:hint="default"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lang w:eastAsia="zh-CN"/>
              </w:rPr>
              <w:t>2</w:t>
            </w:r>
            <w:r>
              <w:rPr>
                <w:rFonts w:hint="eastAsia" w:ascii="仿宋_GB2312" w:hAnsi="宋体" w:eastAsia="仿宋_GB2312" w:cs="宋体"/>
                <w:bCs/>
                <w:color w:val="auto"/>
                <w:kern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53" w:type="dxa"/>
            <w:vAlign w:val="center"/>
          </w:tcPr>
          <w:p>
            <w:pPr>
              <w:widowControl/>
              <w:overflowPunct/>
              <w:adjustRightInd/>
              <w:snapToGrid/>
              <w:spacing w:line="240" w:lineRule="auto"/>
              <w:jc w:val="center"/>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rPr>
              <w:t>4</w:t>
            </w:r>
          </w:p>
        </w:tc>
        <w:tc>
          <w:tcPr>
            <w:tcW w:w="6068" w:type="dxa"/>
            <w:vAlign w:val="center"/>
          </w:tcPr>
          <w:p>
            <w:pPr>
              <w:widowControl/>
              <w:overflowPunct/>
              <w:adjustRightInd/>
              <w:snapToGrid/>
              <w:spacing w:line="240" w:lineRule="auto"/>
              <w:jc w:val="both"/>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lang w:val="en-US" w:eastAsia="zh-CN"/>
              </w:rPr>
              <w:t>立法经费及法规清理经费</w:t>
            </w:r>
          </w:p>
        </w:tc>
        <w:tc>
          <w:tcPr>
            <w:tcW w:w="1299" w:type="dxa"/>
            <w:vAlign w:val="center"/>
          </w:tcPr>
          <w:p>
            <w:pPr>
              <w:widowControl/>
              <w:overflowPunct/>
              <w:adjustRightInd/>
              <w:snapToGrid/>
              <w:spacing w:line="240" w:lineRule="auto"/>
              <w:jc w:val="center"/>
              <w:rPr>
                <w:rFonts w:hint="eastAsia" w:ascii="仿宋_GB2312" w:hAnsi="宋体" w:eastAsia="仿宋_GB2312" w:cs="宋体"/>
                <w:bCs/>
                <w:color w:val="auto"/>
                <w:kern w:val="0"/>
                <w:sz w:val="22"/>
                <w:szCs w:val="22"/>
              </w:rPr>
            </w:pPr>
            <w:r>
              <w:rPr>
                <w:rFonts w:hint="eastAsia" w:ascii="仿宋_GB2312" w:hAnsi="宋体" w:eastAsia="仿宋_GB2312" w:cs="宋体"/>
                <w:bCs/>
                <w:color w:val="auto"/>
                <w:kern w:val="0"/>
                <w:sz w:val="22"/>
                <w:szCs w:val="22"/>
                <w:lang w:val="en-US" w:eastAsia="zh-CN"/>
              </w:rPr>
              <w:t>320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outlineLvl w:val="1"/>
        <w:rPr>
          <w:rFonts w:hint="eastAsia" w:ascii="Times New Roman" w:hAnsi="Times New Roman" w:eastAsia="仿宋_GB2312" w:cs="Times New Roman"/>
          <w:b/>
          <w:bCs/>
          <w:color w:val="auto"/>
          <w:kern w:val="0"/>
          <w:sz w:val="28"/>
          <w:szCs w:val="28"/>
          <w:lang w:val="en-US" w:eastAsia="zh-CN"/>
        </w:rPr>
      </w:pPr>
      <w:bookmarkStart w:id="22" w:name="_Toc24365"/>
      <w:bookmarkStart w:id="23" w:name="_Toc28343"/>
      <w:bookmarkStart w:id="24" w:name="_Toc138"/>
      <w:bookmarkStart w:id="25" w:name="_Toc3597"/>
      <w:r>
        <w:rPr>
          <w:rFonts w:hint="eastAsia" w:ascii="Times New Roman" w:hAnsi="Times New Roman" w:eastAsia="仿宋_GB2312" w:cs="Times New Roman"/>
          <w:b/>
          <w:bCs/>
          <w:color w:val="auto"/>
          <w:kern w:val="0"/>
          <w:sz w:val="28"/>
          <w:szCs w:val="28"/>
          <w:lang w:val="en-US" w:eastAsia="zh-CN"/>
        </w:rPr>
        <w:t>（二）项目绩效目标</w:t>
      </w:r>
      <w:bookmarkEnd w:id="22"/>
      <w:bookmarkEnd w:id="23"/>
      <w:bookmarkEnd w:id="24"/>
      <w:bookmarkEnd w:id="25"/>
    </w:p>
    <w:p>
      <w:pPr>
        <w:spacing w:line="500" w:lineRule="exact"/>
        <w:ind w:firstLine="560" w:firstLineChars="200"/>
        <w:outlineLvl w:val="2"/>
        <w:rPr>
          <w:rFonts w:hint="eastAsia" w:eastAsia="仿宋_GB2312"/>
          <w:b w:val="0"/>
          <w:bCs w:val="0"/>
          <w:color w:val="auto"/>
          <w:sz w:val="28"/>
          <w:szCs w:val="28"/>
        </w:rPr>
      </w:pPr>
      <w:bookmarkStart w:id="26" w:name="_Toc25966"/>
      <w:bookmarkStart w:id="27" w:name="_Toc26809"/>
      <w:bookmarkStart w:id="28" w:name="_Toc31485_WPSOffice_Level2"/>
      <w:r>
        <w:rPr>
          <w:rFonts w:hint="eastAsia" w:eastAsia="仿宋_GB2312"/>
          <w:b w:val="0"/>
          <w:bCs w:val="0"/>
          <w:color w:val="auto"/>
          <w:sz w:val="28"/>
          <w:szCs w:val="28"/>
        </w:rPr>
        <w:t>1</w:t>
      </w:r>
      <w:r>
        <w:rPr>
          <w:rFonts w:hint="eastAsia" w:eastAsia="仿宋_GB2312"/>
          <w:b w:val="0"/>
          <w:bCs w:val="0"/>
          <w:color w:val="auto"/>
          <w:sz w:val="28"/>
          <w:szCs w:val="28"/>
          <w:lang w:eastAsia="zh-CN"/>
        </w:rPr>
        <w:t>、</w:t>
      </w:r>
      <w:r>
        <w:rPr>
          <w:rFonts w:hint="eastAsia" w:eastAsia="仿宋_GB2312"/>
          <w:b w:val="0"/>
          <w:bCs w:val="0"/>
          <w:color w:val="auto"/>
          <w:sz w:val="28"/>
          <w:szCs w:val="28"/>
        </w:rPr>
        <w:t>项目绩效总目标</w:t>
      </w:r>
      <w:bookmarkEnd w:id="26"/>
      <w:bookmarkEnd w:id="27"/>
    </w:p>
    <w:p>
      <w:pPr>
        <w:spacing w:line="500" w:lineRule="exact"/>
        <w:ind w:firstLine="560" w:firstLineChars="200"/>
        <w:rPr>
          <w:rFonts w:hint="eastAsia" w:eastAsia="仿宋_GB2312" w:cs="Times New Roman"/>
          <w:color w:val="auto"/>
          <w:sz w:val="28"/>
          <w:szCs w:val="28"/>
          <w:lang w:val="en-US" w:eastAsia="zh-CN"/>
        </w:rPr>
      </w:pPr>
      <w:r>
        <w:rPr>
          <w:rFonts w:hint="eastAsia" w:eastAsia="仿宋_GB2312"/>
          <w:color w:val="auto"/>
          <w:sz w:val="28"/>
          <w:szCs w:val="28"/>
        </w:rPr>
        <w:t>充分体现社会主义法的公平与正义，从人民群众的根本利益和全局利益出发，兼顾各方利益，保护弱势群体和利益，照顾少数人的利益。充分尊重和保障人权，科学合理地规定公司、法人和其他组织的权利和义务、国家机关的权力与义务、国家机关的权力与责任。能正确处理公共权力与公民权利之间、公共权力之间、公民权利之间的关系、做到实体权利与程序权利的统一。不得对宪法、法律规定的公民权利加以限制和剥夺，不给公民增加宪法、法律规定之外的义务。</w:t>
      </w:r>
      <w:r>
        <w:rPr>
          <w:rFonts w:hint="eastAsia" w:eastAsia="仿宋_GB2312"/>
          <w:color w:val="auto"/>
          <w:sz w:val="28"/>
          <w:szCs w:val="28"/>
          <w:lang w:val="en-US" w:eastAsia="zh-CN"/>
        </w:rPr>
        <w:t>充分保障</w:t>
      </w:r>
      <w:r>
        <w:rPr>
          <w:rFonts w:hint="eastAsia" w:ascii="Calibri" w:hAnsi="Calibri" w:eastAsia="仿宋_GB2312" w:cs="Times New Roman"/>
          <w:color w:val="auto"/>
          <w:sz w:val="28"/>
          <w:szCs w:val="28"/>
          <w:lang w:val="en-US" w:eastAsia="zh-CN"/>
        </w:rPr>
        <w:t>人民通过人民代表大会行使国家权力。发挥人大及常委会在立法工作中的主导作用，健全人大级组织制度和工作制度，保证人大依法行使立法权、监督权、决定权、任免权，更好发挥人大代表作用，使各级人大及其常委会成为全面担负起宪法法律赋予的各项职责的工作机关，成为同人民群众保持密切联系的代表机关</w:t>
      </w:r>
      <w:r>
        <w:rPr>
          <w:rFonts w:hint="eastAsia" w:eastAsia="仿宋_GB2312" w:cs="Times New Roman"/>
          <w:color w:val="auto"/>
          <w:sz w:val="28"/>
          <w:szCs w:val="28"/>
          <w:lang w:val="en-US" w:eastAsia="zh-CN"/>
        </w:rPr>
        <w:t>；为加快建设幸福美好新甘肃、不断开创富民兴陇新局面作出新的贡献。</w:t>
      </w:r>
    </w:p>
    <w:p>
      <w:pPr>
        <w:spacing w:line="500" w:lineRule="exact"/>
        <w:ind w:firstLine="560" w:firstLineChars="200"/>
        <w:outlineLvl w:val="2"/>
        <w:rPr>
          <w:rFonts w:hint="eastAsia" w:eastAsia="仿宋_GB2312"/>
          <w:b w:val="0"/>
          <w:bCs w:val="0"/>
          <w:color w:val="auto"/>
          <w:sz w:val="28"/>
          <w:szCs w:val="28"/>
        </w:rPr>
      </w:pPr>
      <w:bookmarkStart w:id="29" w:name="_Toc2598"/>
      <w:bookmarkStart w:id="30" w:name="_Toc30929"/>
      <w:r>
        <w:rPr>
          <w:rFonts w:hint="eastAsia" w:eastAsia="仿宋_GB2312"/>
          <w:b w:val="0"/>
          <w:bCs w:val="0"/>
          <w:color w:val="auto"/>
          <w:sz w:val="28"/>
          <w:szCs w:val="28"/>
        </w:rPr>
        <w:t>2</w:t>
      </w:r>
      <w:r>
        <w:rPr>
          <w:rFonts w:hint="eastAsia" w:eastAsia="仿宋_GB2312"/>
          <w:b w:val="0"/>
          <w:bCs w:val="0"/>
          <w:color w:val="auto"/>
          <w:sz w:val="28"/>
          <w:szCs w:val="28"/>
          <w:lang w:eastAsia="zh-CN"/>
        </w:rPr>
        <w:t>、</w:t>
      </w:r>
      <w:r>
        <w:rPr>
          <w:rFonts w:hint="eastAsia" w:eastAsia="仿宋_GB2312"/>
          <w:b w:val="0"/>
          <w:bCs w:val="0"/>
          <w:color w:val="auto"/>
          <w:sz w:val="28"/>
          <w:szCs w:val="28"/>
        </w:rPr>
        <w:t>项目绩效年度目标</w:t>
      </w:r>
      <w:bookmarkEnd w:id="29"/>
      <w:bookmarkEnd w:id="30"/>
    </w:p>
    <w:bookmarkEnd w:id="28"/>
    <w:p>
      <w:pPr>
        <w:overflowPunct w:val="0"/>
        <w:adjustRightInd w:val="0"/>
        <w:snapToGrid w:val="0"/>
        <w:spacing w:line="500" w:lineRule="exact"/>
        <w:ind w:firstLine="560" w:firstLineChars="200"/>
        <w:rPr>
          <w:rFonts w:hint="eastAsia" w:eastAsia="仿宋_GB2312"/>
          <w:color w:val="auto"/>
          <w:sz w:val="28"/>
          <w:szCs w:val="32"/>
        </w:rPr>
      </w:pPr>
      <w:r>
        <w:rPr>
          <w:rFonts w:hint="eastAsia" w:eastAsia="仿宋_GB2312"/>
          <w:color w:val="auto"/>
          <w:sz w:val="28"/>
          <w:szCs w:val="32"/>
        </w:rPr>
        <w:t>2019年度，</w:t>
      </w:r>
      <w:r>
        <w:rPr>
          <w:rFonts w:hint="eastAsia" w:eastAsia="仿宋_GB2312"/>
          <w:color w:val="auto"/>
          <w:sz w:val="28"/>
          <w:szCs w:val="32"/>
          <w:lang w:eastAsia="zh-CN"/>
        </w:rPr>
        <w:t>甘肃省人民代表大会常务委员会</w:t>
      </w:r>
      <w:r>
        <w:rPr>
          <w:rFonts w:hint="eastAsia" w:eastAsia="仿宋_GB2312"/>
          <w:color w:val="auto"/>
          <w:sz w:val="28"/>
          <w:szCs w:val="32"/>
        </w:rPr>
        <w:t>计划</w:t>
      </w:r>
      <w:r>
        <w:rPr>
          <w:rFonts w:hint="eastAsia" w:eastAsia="仿宋_GB2312"/>
          <w:color w:val="auto"/>
          <w:sz w:val="28"/>
          <w:szCs w:val="32"/>
          <w:lang w:val="en-US" w:eastAsia="zh-CN"/>
        </w:rPr>
        <w:t>组织各类</w:t>
      </w:r>
      <w:r>
        <w:rPr>
          <w:rFonts w:hint="eastAsia" w:eastAsia="仿宋_GB2312"/>
          <w:color w:val="auto"/>
          <w:sz w:val="28"/>
          <w:szCs w:val="32"/>
        </w:rPr>
        <w:t>论证会</w:t>
      </w:r>
      <w:r>
        <w:rPr>
          <w:rFonts w:hint="eastAsia" w:eastAsia="仿宋_GB2312"/>
          <w:color w:val="auto"/>
          <w:sz w:val="28"/>
          <w:szCs w:val="32"/>
          <w:lang w:eastAsia="zh-CN"/>
        </w:rPr>
        <w:t>、</w:t>
      </w:r>
      <w:r>
        <w:rPr>
          <w:rFonts w:hint="eastAsia" w:eastAsia="仿宋_GB2312"/>
          <w:color w:val="auto"/>
          <w:sz w:val="28"/>
          <w:szCs w:val="32"/>
        </w:rPr>
        <w:t>座谈会</w:t>
      </w:r>
      <w:r>
        <w:rPr>
          <w:rFonts w:hint="eastAsia" w:eastAsia="仿宋_GB2312"/>
          <w:color w:val="auto"/>
          <w:sz w:val="28"/>
          <w:szCs w:val="32"/>
          <w:lang w:eastAsia="zh-CN"/>
        </w:rPr>
        <w:t>、</w:t>
      </w:r>
      <w:r>
        <w:rPr>
          <w:rFonts w:hint="eastAsia" w:eastAsia="仿宋_GB2312"/>
          <w:color w:val="auto"/>
          <w:sz w:val="28"/>
          <w:szCs w:val="32"/>
          <w:lang w:val="en-US" w:eastAsia="zh-CN"/>
        </w:rPr>
        <w:t>培训会等会议活动</w:t>
      </w:r>
      <w:r>
        <w:rPr>
          <w:rFonts w:hint="eastAsia" w:eastAsia="仿宋_GB2312"/>
          <w:color w:val="auto"/>
          <w:sz w:val="28"/>
          <w:szCs w:val="32"/>
          <w:lang w:eastAsia="zh-CN"/>
        </w:rPr>
        <w:t>3</w:t>
      </w:r>
      <w:r>
        <w:rPr>
          <w:rFonts w:hint="eastAsia" w:eastAsia="仿宋_GB2312"/>
          <w:color w:val="auto"/>
          <w:sz w:val="28"/>
          <w:szCs w:val="32"/>
        </w:rPr>
        <w:t>0场次</w:t>
      </w:r>
      <w:r>
        <w:rPr>
          <w:rFonts w:hint="eastAsia" w:eastAsia="仿宋_GB2312"/>
          <w:color w:val="auto"/>
          <w:sz w:val="28"/>
          <w:szCs w:val="32"/>
          <w:lang w:val="en-US" w:eastAsia="zh-CN"/>
        </w:rPr>
        <w:t>以上</w:t>
      </w:r>
      <w:r>
        <w:rPr>
          <w:rFonts w:hint="eastAsia" w:eastAsia="仿宋_GB2312"/>
          <w:color w:val="auto"/>
          <w:sz w:val="28"/>
          <w:szCs w:val="32"/>
        </w:rPr>
        <w:t>，</w:t>
      </w:r>
      <w:r>
        <w:rPr>
          <w:rFonts w:hint="eastAsia" w:eastAsia="仿宋_GB2312"/>
          <w:color w:val="auto"/>
          <w:sz w:val="28"/>
          <w:szCs w:val="32"/>
          <w:lang w:val="en-US" w:eastAsia="zh-CN"/>
        </w:rPr>
        <w:t>聘请立法论证专家人数10人次以上，组织各类调研次数30次以上，法规文本释义汇编等印刷出版册数1000册以上，法规数据库建设维护次数1次以上，购买维护系统至少1套，组织开展中华环保世纪行宣传活动1次以上，制定、修改、废止地方性法规1部以上，审议地方性法规15件以上，开展执法检查5次以上，听取审议“一府两院”工作报告7次以上，审查批准设置地方性法规和民族自治条例、单行条例1部以上；计划内开展的各项工作</w:t>
      </w:r>
      <w:r>
        <w:rPr>
          <w:rFonts w:hint="eastAsia" w:eastAsia="仿宋_GB2312"/>
          <w:color w:val="auto"/>
          <w:sz w:val="28"/>
          <w:szCs w:val="32"/>
        </w:rPr>
        <w:t>符合</w:t>
      </w:r>
      <w:r>
        <w:rPr>
          <w:rFonts w:hint="eastAsia" w:eastAsia="仿宋_GB2312"/>
          <w:color w:val="auto"/>
          <w:sz w:val="28"/>
          <w:szCs w:val="32"/>
          <w:lang w:val="en-US" w:eastAsia="zh-CN"/>
        </w:rPr>
        <w:t>甘肃省</w:t>
      </w:r>
      <w:r>
        <w:rPr>
          <w:rFonts w:hint="eastAsia" w:eastAsia="仿宋_GB2312"/>
          <w:color w:val="auto"/>
          <w:sz w:val="28"/>
          <w:szCs w:val="32"/>
        </w:rPr>
        <w:t>社会发展规律和社会主义市场经济规律，符合党的现行方针、政策，具有时代特征和一定的前瞻性；符合地方立法的适度要求，调整的事项适合用法律手段规范。防止立法对社会生活干预过度，避免法繁扰民；符合本省的具体情况和实际需要，针对性强，地方特色鲜明，不照抄照搬上位法条文，不搞多部法律、行政法规条款的汇编。调整社会关系的规范成熟、可行、具体，实现法规规范的程序明确、具有可操作性。</w:t>
      </w:r>
    </w:p>
    <w:p>
      <w:pPr>
        <w:overflowPunct w:val="0"/>
        <w:adjustRightInd w:val="0"/>
        <w:snapToGrid w:val="0"/>
        <w:spacing w:line="500" w:lineRule="exact"/>
        <w:ind w:firstLine="560" w:firstLineChars="200"/>
        <w:rPr>
          <w:rFonts w:hint="eastAsia" w:eastAsia="仿宋_GB2312"/>
          <w:color w:val="auto"/>
          <w:sz w:val="28"/>
          <w:szCs w:val="32"/>
          <w:lang w:eastAsia="zh-CN"/>
        </w:rPr>
      </w:pPr>
      <w:r>
        <w:rPr>
          <w:rFonts w:hint="eastAsia" w:eastAsia="仿宋_GB2312"/>
          <w:color w:val="auto"/>
          <w:sz w:val="28"/>
          <w:szCs w:val="32"/>
        </w:rPr>
        <w:t>201</w:t>
      </w:r>
      <w:r>
        <w:rPr>
          <w:rFonts w:hint="eastAsia" w:eastAsia="仿宋_GB2312"/>
          <w:color w:val="auto"/>
          <w:sz w:val="28"/>
          <w:szCs w:val="32"/>
          <w:lang w:eastAsia="zh-CN"/>
        </w:rPr>
        <w:t>9</w:t>
      </w:r>
      <w:r>
        <w:rPr>
          <w:rFonts w:hint="eastAsia" w:eastAsia="仿宋_GB2312"/>
          <w:color w:val="auto"/>
          <w:sz w:val="28"/>
          <w:szCs w:val="32"/>
        </w:rPr>
        <w:t>年度绩效指标见下表2</w:t>
      </w:r>
      <w:r>
        <w:rPr>
          <w:rFonts w:hint="eastAsia" w:eastAsia="仿宋_GB2312"/>
          <w:color w:val="auto"/>
          <w:sz w:val="28"/>
          <w:szCs w:val="32"/>
          <w:lang w:eastAsia="zh-CN"/>
        </w:rPr>
        <w:t>；</w:t>
      </w:r>
    </w:p>
    <w:p>
      <w:pPr>
        <w:pStyle w:val="18"/>
        <w:overflowPunct w:val="0"/>
        <w:adjustRightInd w:val="0"/>
        <w:snapToGrid w:val="0"/>
        <w:spacing w:line="500" w:lineRule="exact"/>
        <w:jc w:val="center"/>
        <w:rPr>
          <w:rFonts w:hint="eastAsia"/>
          <w:color w:val="auto"/>
          <w:kern w:val="2"/>
        </w:rPr>
      </w:pPr>
      <w:r>
        <w:rPr>
          <w:rFonts w:hint="eastAsia"/>
          <w:color w:val="auto"/>
          <w:kern w:val="2"/>
        </w:rPr>
        <w:t>表</w:t>
      </w:r>
      <w:r>
        <w:rPr>
          <w:rFonts w:hint="eastAsia"/>
          <w:color w:val="auto"/>
          <w:kern w:val="2"/>
          <w:lang w:val="en-US" w:eastAsia="zh-CN"/>
        </w:rPr>
        <w:t xml:space="preserve">2. </w:t>
      </w:r>
      <w:r>
        <w:rPr>
          <w:rFonts w:hint="eastAsia"/>
          <w:color w:val="auto"/>
          <w:kern w:val="2"/>
        </w:rPr>
        <w:t xml:space="preserve"> 201</w:t>
      </w:r>
      <w:r>
        <w:rPr>
          <w:rFonts w:hint="eastAsia"/>
          <w:color w:val="auto"/>
          <w:kern w:val="2"/>
          <w:lang w:eastAsia="zh-CN"/>
        </w:rPr>
        <w:t>9</w:t>
      </w:r>
      <w:r>
        <w:rPr>
          <w:rFonts w:hint="eastAsia"/>
          <w:color w:val="auto"/>
          <w:szCs w:val="28"/>
        </w:rPr>
        <w:t>年度绩效指标</w:t>
      </w:r>
      <w:r>
        <w:rPr>
          <w:rFonts w:hint="eastAsia"/>
          <w:color w:val="auto"/>
          <w:kern w:val="2"/>
        </w:rPr>
        <w:t>表</w:t>
      </w:r>
    </w:p>
    <w:tbl>
      <w:tblPr>
        <w:tblStyle w:val="15"/>
        <w:tblW w:w="8327" w:type="dxa"/>
        <w:tblInd w:w="0" w:type="dxa"/>
        <w:tblLayout w:type="fixed"/>
        <w:tblCellMar>
          <w:top w:w="0" w:type="dxa"/>
          <w:left w:w="0" w:type="dxa"/>
          <w:bottom w:w="0" w:type="dxa"/>
          <w:right w:w="0" w:type="dxa"/>
        </w:tblCellMar>
      </w:tblPr>
      <w:tblGrid>
        <w:gridCol w:w="833"/>
        <w:gridCol w:w="1308"/>
        <w:gridCol w:w="1148"/>
        <w:gridCol w:w="3630"/>
        <w:gridCol w:w="1408"/>
      </w:tblGrid>
      <w:tr>
        <w:tblPrEx>
          <w:tblLayout w:type="fixed"/>
          <w:tblCellMar>
            <w:top w:w="0" w:type="dxa"/>
            <w:left w:w="0" w:type="dxa"/>
            <w:bottom w:w="0" w:type="dxa"/>
            <w:right w:w="0" w:type="dxa"/>
          </w:tblCellMar>
        </w:tblPrEx>
        <w:trPr>
          <w:trHeight w:val="454" w:hRule="exact"/>
        </w:trPr>
        <w:tc>
          <w:tcPr>
            <w:tcW w:w="83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3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1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产出指标</w:t>
            </w:r>
          </w:p>
        </w:tc>
        <w:tc>
          <w:tcPr>
            <w:tcW w:w="114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聘请立法论证专家人数</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&gt;=10人</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审议地方性法规</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&gt;=15件</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组织调研考察次数</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&gt;=30次</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法规文本释义汇编等印刷出版册数</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&gt;=1000册</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法规数据库建设维护次数</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&gt;=1次</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组织各类培训、会议、活动次数</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&gt;=30次</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购买维护系统数量</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1套</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组织开展中华环保世纪行宣传活动次数</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&gt;=1次</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制定、修改、废止地方性法规</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&gt;=1部</w:t>
            </w:r>
          </w:p>
        </w:tc>
      </w:tr>
      <w:tr>
        <w:tblPrEx>
          <w:tblLayout w:type="fixed"/>
          <w:tblCellMar>
            <w:top w:w="0" w:type="dxa"/>
            <w:left w:w="0" w:type="dxa"/>
            <w:bottom w:w="0" w:type="dxa"/>
            <w:right w:w="0" w:type="dxa"/>
          </w:tblCellMar>
        </w:tblPrEx>
        <w:trPr>
          <w:trHeight w:val="586"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审查批准设施地方性法规和民族自治条例、单行条例</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&gt;=15件</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开展执法检查</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&gt;=5次</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听取审议“一府两院”工作报告</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&gt;=7次</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sz w:val="18"/>
              </w:rPr>
              <mc:AlternateContent>
                <mc:Choice Requires="wps">
                  <w:drawing>
                    <wp:anchor distT="0" distB="0" distL="114300" distR="114300" simplePos="0" relativeHeight="251664384" behindDoc="0" locked="0" layoutInCell="1" allowOverlap="1">
                      <wp:simplePos x="0" y="0"/>
                      <wp:positionH relativeFrom="column">
                        <wp:posOffset>-760730</wp:posOffset>
                      </wp:positionH>
                      <wp:positionV relativeFrom="paragraph">
                        <wp:posOffset>1953260</wp:posOffset>
                      </wp:positionV>
                      <wp:extent cx="701040" cy="274320"/>
                      <wp:effectExtent l="0" t="0" r="0" b="0"/>
                      <wp:wrapNone/>
                      <wp:docPr id="23" name="文本框 23"/>
                      <wp:cNvGraphicFramePr/>
                      <a:graphic xmlns:a="http://schemas.openxmlformats.org/drawingml/2006/main">
                        <a:graphicData uri="http://schemas.microsoft.com/office/word/2010/wordprocessingShape">
                          <wps:wsp>
                            <wps:cNvSpPr txBox="1"/>
                            <wps:spPr>
                              <a:xfrm>
                                <a:off x="1772285" y="2801620"/>
                                <a:ext cx="701040" cy="2743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
                                    <w:rPr>
                                      <w:rFonts w:hint="eastAsia" w:ascii="宋体" w:hAnsi="宋体" w:cs="宋体"/>
                                      <w:i w:val="0"/>
                                      <w:color w:val="000000"/>
                                      <w:sz w:val="18"/>
                                      <w:szCs w:val="18"/>
                                      <w:u w:val="none"/>
                                      <w:lang w:val="en-US" w:eastAsia="zh-CN"/>
                                    </w:rPr>
                                    <w:t>产出指标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9pt;margin-top:153.8pt;height:21.6pt;width:55.2pt;z-index:251664384;mso-width-relative:page;mso-height-relative:page;" fillcolor="#FFFFFF [3201]" filled="t" stroked="f" coordsize="21600,21600" o:gfxdata="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6HrUtcAAAALAQAADwAAAAAAAAABACAAAAAiAAAAZHJz&#10;L2Rvd25yZXYueG1sUEsBAhQAFAAAAAgAh07iQFPa9uU+AgAATgQAAA4AAAAAAAAAAQAgAAAAJgEA&#10;AGRycy9lMm9Eb2MueG1sUEsFBgAAAAAGAAYAWQEAANYFAAAAAA==&#10;">
                      <v:fill on="t" focussize="0,0"/>
                      <v:stroke on="f" weight="0.5pt"/>
                      <v:imagedata o:title=""/>
                      <o:lock v:ext="edit" aspectratio="f"/>
                      <v:textbox>
                        <w:txbxContent>
                          <w:p>
                            <w:pPr/>
                            <w:r>
                              <w:rPr>
                                <w:rFonts w:hint="eastAsia" w:ascii="宋体" w:hAnsi="宋体" w:cs="宋体"/>
                                <w:i w:val="0"/>
                                <w:color w:val="000000"/>
                                <w:sz w:val="18"/>
                                <w:szCs w:val="18"/>
                                <w:u w:val="none"/>
                                <w:lang w:val="en-US" w:eastAsia="zh-CN"/>
                              </w:rPr>
                              <w:t>产出指标</w:t>
                            </w:r>
                          </w:p>
                        </w:txbxContent>
                      </v:textbox>
                    </v:shape>
                  </w:pict>
                </mc:Fallback>
              </mc:AlternateContent>
            </w:r>
            <w:r>
              <w:rPr>
                <w:rFonts w:hint="eastAsia" w:ascii="宋体" w:hAnsi="宋体" w:eastAsia="宋体" w:cs="宋体"/>
                <w:i w:val="0"/>
                <w:color w:val="000000"/>
                <w:kern w:val="0"/>
                <w:sz w:val="18"/>
                <w:szCs w:val="18"/>
                <w:u w:val="none"/>
                <w:lang w:val="en-US" w:eastAsia="zh-CN" w:bidi="ar"/>
              </w:rPr>
              <w:t>质量指标</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条例法案适用度</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&gt;=100%</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培训、宣传的主题符合度 </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论证专家的专业符合度</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印制材料验收合格率</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规范性文件备案审查合格率</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&gt;=95%</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购置设备设施验收合格率</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系统运行稳定率</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&gt;=95%</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论证会座谈会听证会举办及时性</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系统故障响应及时性</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法规文本释义汇编等印刷及时性</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系统维护及购置及时性</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规范性文件备案审查及时性</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修订及废止法规条例及时性</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培训、宣传、活动开展及时性</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成本指标</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成本控制率</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≥95%</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14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完善立法机制，立法质量提升率</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&gt;=90%</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社会大众法律知晓度</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条例实施对社会的影响度</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&gt;=95%</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长效管理机制</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健全</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档案管理机制</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完善</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部门协作率</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&gt;=90%</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14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参与立法人员满意度</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&gt;=90%</w:t>
            </w:r>
          </w:p>
        </w:tc>
      </w:tr>
      <w:tr>
        <w:tblPrEx>
          <w:tblLayout w:type="fixed"/>
          <w:tblCellMar>
            <w:top w:w="0" w:type="dxa"/>
            <w:left w:w="0" w:type="dxa"/>
            <w:bottom w:w="0" w:type="dxa"/>
            <w:right w:w="0" w:type="dxa"/>
          </w:tblCellMar>
        </w:tblPrEx>
        <w:trPr>
          <w:trHeight w:val="454" w:hRule="exact"/>
        </w:trPr>
        <w:tc>
          <w:tcPr>
            <w:tcW w:w="8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1308"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14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6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社会人群满意度</w:t>
            </w:r>
          </w:p>
        </w:tc>
        <w:tc>
          <w:tcPr>
            <w:tcW w:w="14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&gt;=90%</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default" w:ascii="仿宋" w:hAnsi="仿宋" w:eastAsia="仿宋" w:cs="仿宋"/>
          <w:b/>
          <w:bCs/>
          <w:sz w:val="30"/>
          <w:szCs w:val="30"/>
          <w:lang w:val="en-US" w:eastAsia="zh-CN"/>
        </w:rPr>
      </w:pPr>
      <w:bookmarkStart w:id="31" w:name="_Toc21134"/>
      <w:bookmarkStart w:id="32" w:name="_Toc11025"/>
      <w:bookmarkStart w:id="33" w:name="_Toc20930"/>
      <w:bookmarkStart w:id="34" w:name="_Toc16851"/>
      <w:r>
        <w:rPr>
          <w:rFonts w:hint="default" w:ascii="仿宋" w:hAnsi="仿宋" w:eastAsia="仿宋" w:cs="仿宋"/>
          <w:b/>
          <w:bCs/>
          <w:sz w:val="30"/>
          <w:szCs w:val="30"/>
          <w:lang w:val="en-US" w:eastAsia="zh-CN"/>
        </w:rPr>
        <w:t>二、绩效评价工作开展情况</w:t>
      </w:r>
      <w:bookmarkEnd w:id="31"/>
      <w:bookmarkEnd w:id="32"/>
      <w:bookmarkEnd w:id="33"/>
      <w:bookmarkEnd w:id="34"/>
    </w:p>
    <w:p>
      <w:pPr>
        <w:ind w:firstLine="640"/>
        <w:jc w:val="both"/>
        <w:outlineLvl w:val="1"/>
        <w:rPr>
          <w:rFonts w:hint="default" w:ascii="Times New Roman" w:hAnsi="Times New Roman" w:eastAsia="仿宋_GB2312" w:cs="Times New Roman"/>
          <w:b/>
          <w:bCs/>
          <w:color w:val="auto"/>
          <w:kern w:val="0"/>
          <w:sz w:val="28"/>
          <w:szCs w:val="28"/>
          <w:lang w:val="en-US" w:eastAsia="zh-CN"/>
        </w:rPr>
      </w:pPr>
      <w:bookmarkStart w:id="35" w:name="_Toc24069"/>
      <w:bookmarkStart w:id="36" w:name="_Toc15331"/>
      <w:bookmarkStart w:id="37" w:name="_Toc15604"/>
      <w:bookmarkStart w:id="38" w:name="_Toc18501"/>
      <w:r>
        <w:rPr>
          <w:rFonts w:hint="default" w:ascii="Times New Roman" w:hAnsi="Times New Roman" w:eastAsia="仿宋_GB2312" w:cs="Times New Roman"/>
          <w:b/>
          <w:bCs/>
          <w:color w:val="auto"/>
          <w:kern w:val="0"/>
          <w:sz w:val="28"/>
          <w:szCs w:val="28"/>
          <w:lang w:val="en-US" w:eastAsia="zh-CN"/>
        </w:rPr>
        <w:t>（一）绩效评价目的、对象和范围。</w:t>
      </w:r>
      <w:bookmarkEnd w:id="35"/>
      <w:bookmarkEnd w:id="36"/>
      <w:bookmarkEnd w:id="37"/>
      <w:bookmarkEnd w:id="38"/>
    </w:p>
    <w:p>
      <w:pPr>
        <w:ind w:firstLine="640"/>
        <w:jc w:val="both"/>
        <w:outlineLvl w:val="1"/>
        <w:rPr>
          <w:rFonts w:hint="eastAsia" w:ascii="Times New Roman" w:hAnsi="Times New Roman" w:eastAsia="仿宋_GB2312" w:cs="Times New Roman"/>
          <w:b w:val="0"/>
          <w:bCs w:val="0"/>
          <w:color w:val="auto"/>
          <w:kern w:val="0"/>
          <w:sz w:val="28"/>
          <w:szCs w:val="28"/>
          <w:lang w:val="en-US" w:eastAsia="zh-CN"/>
        </w:rPr>
      </w:pPr>
      <w:bookmarkStart w:id="39" w:name="_Toc9277"/>
      <w:bookmarkStart w:id="40" w:name="_Toc24250"/>
      <w:bookmarkStart w:id="41" w:name="_Toc31551"/>
      <w:bookmarkStart w:id="42" w:name="_Toc22602"/>
      <w:r>
        <w:rPr>
          <w:rFonts w:hint="eastAsia" w:ascii="Times New Roman" w:hAnsi="Times New Roman" w:eastAsia="仿宋_GB2312" w:cs="Times New Roman"/>
          <w:b w:val="0"/>
          <w:bCs w:val="0"/>
          <w:color w:val="auto"/>
          <w:kern w:val="0"/>
          <w:sz w:val="28"/>
          <w:szCs w:val="28"/>
          <w:lang w:val="en-US" w:eastAsia="zh-CN"/>
        </w:rPr>
        <w:t>1、绩效评价的目的</w:t>
      </w:r>
      <w:bookmarkEnd w:id="39"/>
      <w:bookmarkEnd w:id="40"/>
      <w:bookmarkEnd w:id="41"/>
      <w:bookmarkEnd w:id="42"/>
    </w:p>
    <w:p>
      <w:pPr>
        <w:pStyle w:val="17"/>
        <w:ind w:firstLine="560"/>
        <w:rPr>
          <w:rFonts w:hint="eastAsia"/>
          <w:color w:val="auto"/>
        </w:rPr>
      </w:pPr>
      <w:r>
        <w:rPr>
          <w:rFonts w:hint="eastAsia"/>
          <w:color w:val="auto"/>
        </w:rPr>
        <w:t>本次绩效评价的目的是评估201</w:t>
      </w:r>
      <w:r>
        <w:rPr>
          <w:rFonts w:hint="eastAsia"/>
          <w:color w:val="auto"/>
          <w:lang w:eastAsia="zh-CN"/>
        </w:rPr>
        <w:t>9</w:t>
      </w:r>
      <w:r>
        <w:rPr>
          <w:rFonts w:hint="eastAsia"/>
          <w:color w:val="auto"/>
        </w:rPr>
        <w:t>年度</w:t>
      </w:r>
      <w:r>
        <w:rPr>
          <w:rFonts w:hint="eastAsia"/>
          <w:color w:val="auto"/>
          <w:lang w:val="en-US" w:eastAsia="zh-CN"/>
        </w:rPr>
        <w:t>立法</w:t>
      </w:r>
      <w:r>
        <w:rPr>
          <w:rFonts w:hint="eastAsia"/>
          <w:color w:val="auto"/>
        </w:rPr>
        <w:t>专项资金的使用情况、执行效果和社会影响。判断其是否</w:t>
      </w:r>
      <w:r>
        <w:rPr>
          <w:rFonts w:hint="eastAsia"/>
          <w:color w:val="auto"/>
          <w:lang w:val="en-US" w:eastAsia="zh-CN"/>
        </w:rPr>
        <w:t>完善了地方立法机制，立法质量是否提升，社会大众对法律的知晓率是否提升，新设立法律条例的实施对社会的影响度情况</w:t>
      </w:r>
      <w:r>
        <w:rPr>
          <w:rFonts w:hint="eastAsia"/>
          <w:color w:val="auto"/>
        </w:rPr>
        <w:t>等目标，并通过分析绩效目标的达成度，发现项目资金使用过程中出现的问题</w:t>
      </w:r>
      <w:r>
        <w:rPr>
          <w:rFonts w:hint="eastAsia"/>
          <w:color w:val="auto"/>
          <w:lang w:val="en-US" w:eastAsia="zh-CN"/>
        </w:rPr>
        <w:t>并进行原因分析</w:t>
      </w:r>
      <w:r>
        <w:rPr>
          <w:rFonts w:hint="eastAsia"/>
          <w:color w:val="auto"/>
        </w:rPr>
        <w:t>，为下一步</w:t>
      </w:r>
      <w:r>
        <w:rPr>
          <w:rFonts w:hint="eastAsia"/>
          <w:color w:val="auto"/>
          <w:lang w:val="en-US" w:eastAsia="zh-CN"/>
        </w:rPr>
        <w:t>省人大常委会立法工作</w:t>
      </w:r>
      <w:r>
        <w:rPr>
          <w:rFonts w:hint="eastAsia"/>
          <w:color w:val="auto"/>
        </w:rPr>
        <w:t>提供建议和参考。</w:t>
      </w:r>
    </w:p>
    <w:p>
      <w:pPr>
        <w:numPr>
          <w:ilvl w:val="0"/>
          <w:numId w:val="3"/>
        </w:numPr>
        <w:ind w:firstLine="640"/>
        <w:jc w:val="both"/>
        <w:outlineLvl w:val="1"/>
        <w:rPr>
          <w:rFonts w:hint="eastAsia" w:ascii="Times New Roman" w:hAnsi="Times New Roman" w:eastAsia="仿宋_GB2312" w:cs="Times New Roman"/>
          <w:b w:val="0"/>
          <w:bCs w:val="0"/>
          <w:color w:val="auto"/>
          <w:kern w:val="0"/>
          <w:sz w:val="28"/>
          <w:szCs w:val="28"/>
          <w:lang w:val="en-US" w:eastAsia="zh-CN"/>
        </w:rPr>
      </w:pPr>
      <w:bookmarkStart w:id="43" w:name="_Toc23494"/>
      <w:bookmarkStart w:id="44" w:name="_Toc30575"/>
      <w:bookmarkStart w:id="45" w:name="_Toc3981"/>
      <w:bookmarkStart w:id="46" w:name="_Toc4856"/>
      <w:r>
        <w:rPr>
          <w:rFonts w:hint="eastAsia" w:ascii="Times New Roman" w:hAnsi="Times New Roman" w:eastAsia="仿宋_GB2312" w:cs="Times New Roman"/>
          <w:b w:val="0"/>
          <w:bCs w:val="0"/>
          <w:color w:val="auto"/>
          <w:kern w:val="0"/>
          <w:sz w:val="28"/>
          <w:szCs w:val="28"/>
          <w:lang w:val="en-US" w:eastAsia="zh-CN"/>
        </w:rPr>
        <w:t>绩效评价的对象和范围</w:t>
      </w:r>
      <w:bookmarkEnd w:id="43"/>
      <w:bookmarkEnd w:id="44"/>
      <w:bookmarkEnd w:id="45"/>
      <w:bookmarkEnd w:id="46"/>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Calibri" w:hAnsi="Calibri" w:eastAsia="仿宋_GB2312" w:cs="Times New Roman"/>
          <w:color w:val="auto"/>
          <w:kern w:val="0"/>
          <w:sz w:val="28"/>
          <w:szCs w:val="28"/>
          <w:lang w:val="en-US" w:eastAsia="zh-CN" w:bidi="ar-SA"/>
        </w:rPr>
      </w:pPr>
      <w:r>
        <w:rPr>
          <w:rFonts w:hint="eastAsia" w:ascii="Calibri" w:hAnsi="Calibri" w:eastAsia="仿宋_GB2312" w:cs="Times New Roman"/>
          <w:color w:val="auto"/>
          <w:kern w:val="0"/>
          <w:sz w:val="28"/>
          <w:szCs w:val="28"/>
          <w:lang w:val="en-US" w:eastAsia="zh-CN" w:bidi="ar-SA"/>
        </w:rPr>
        <w:t>本次绩效评价的对象为甘肃省人民大表大会常务委员会立法专项资金的使用情况及效果；评价范围为甘肃省人民代表大会常委会及立法经费专项所涉及到的甘肃省各市州相关</w:t>
      </w:r>
      <w:r>
        <w:rPr>
          <w:rFonts w:hint="eastAsia" w:eastAsia="仿宋_GB2312" w:cs="Times New Roman"/>
          <w:color w:val="auto"/>
          <w:kern w:val="0"/>
          <w:sz w:val="28"/>
          <w:szCs w:val="28"/>
          <w:lang w:val="en-US" w:eastAsia="zh-CN" w:bidi="ar-SA"/>
        </w:rPr>
        <w:t>单位</w:t>
      </w:r>
      <w:r>
        <w:rPr>
          <w:rFonts w:hint="eastAsia" w:ascii="Calibri" w:hAnsi="Calibri" w:eastAsia="仿宋_GB2312" w:cs="Times New Roman"/>
          <w:color w:val="auto"/>
          <w:kern w:val="0"/>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2" w:firstLineChars="200"/>
        <w:jc w:val="both"/>
        <w:textAlignment w:val="auto"/>
        <w:outlineLvl w:val="1"/>
        <w:rPr>
          <w:rFonts w:hint="eastAsia" w:ascii="Times New Roman" w:hAnsi="Times New Roman" w:eastAsia="仿宋_GB2312" w:cs="Times New Roman"/>
          <w:b/>
          <w:bCs/>
          <w:color w:val="auto"/>
          <w:kern w:val="0"/>
          <w:sz w:val="28"/>
          <w:szCs w:val="28"/>
          <w:lang w:val="en-US" w:eastAsia="zh-CN"/>
        </w:rPr>
      </w:pPr>
      <w:bookmarkStart w:id="47" w:name="_Toc3008"/>
      <w:bookmarkStart w:id="48" w:name="_Toc1105"/>
      <w:bookmarkStart w:id="49" w:name="_Toc16963"/>
      <w:bookmarkStart w:id="50" w:name="_Toc15222"/>
      <w:r>
        <w:rPr>
          <w:rFonts w:hint="eastAsia" w:ascii="Times New Roman" w:hAnsi="Times New Roman" w:eastAsia="仿宋_GB2312" w:cs="Times New Roman"/>
          <w:b/>
          <w:bCs/>
          <w:color w:val="auto"/>
          <w:kern w:val="0"/>
          <w:sz w:val="28"/>
          <w:szCs w:val="28"/>
          <w:lang w:val="en-US" w:eastAsia="zh-CN"/>
        </w:rPr>
        <w:t>（二）绩效评价原则、评价指标体系（附表说明）、评价方法、评价标准等。</w:t>
      </w:r>
      <w:bookmarkEnd w:id="47"/>
      <w:bookmarkEnd w:id="48"/>
      <w:bookmarkEnd w:id="49"/>
      <w:bookmarkEnd w:id="50"/>
    </w:p>
    <w:p>
      <w:pPr>
        <w:keepNext w:val="0"/>
        <w:keepLines w:val="0"/>
        <w:pageBreakBefore w:val="0"/>
        <w:widowControl w:val="0"/>
        <w:numPr>
          <w:ilvl w:val="0"/>
          <w:numId w:val="4"/>
        </w:numPr>
        <w:kinsoku/>
        <w:wordWrap/>
        <w:overflowPunct/>
        <w:topLinePunct w:val="0"/>
        <w:autoSpaceDE/>
        <w:autoSpaceDN/>
        <w:bidi w:val="0"/>
        <w:adjustRightInd/>
        <w:snapToGrid/>
        <w:ind w:firstLine="560" w:firstLineChars="200"/>
        <w:jc w:val="both"/>
        <w:textAlignment w:val="auto"/>
        <w:outlineLvl w:val="2"/>
        <w:rPr>
          <w:rFonts w:hint="eastAsia" w:ascii="Times New Roman" w:hAnsi="Times New Roman" w:eastAsia="仿宋_GB2312" w:cs="Times New Roman"/>
          <w:b w:val="0"/>
          <w:bCs w:val="0"/>
          <w:color w:val="auto"/>
          <w:kern w:val="0"/>
          <w:sz w:val="28"/>
          <w:szCs w:val="28"/>
          <w:lang w:val="en-US" w:eastAsia="zh-CN"/>
        </w:rPr>
      </w:pPr>
      <w:bookmarkStart w:id="51" w:name="_Toc9346"/>
      <w:bookmarkStart w:id="52" w:name="_Toc31903"/>
      <w:r>
        <w:rPr>
          <w:rFonts w:hint="eastAsia" w:ascii="Times New Roman" w:hAnsi="Times New Roman" w:eastAsia="仿宋_GB2312" w:cs="Times New Roman"/>
          <w:b w:val="0"/>
          <w:bCs w:val="0"/>
          <w:color w:val="auto"/>
          <w:kern w:val="0"/>
          <w:sz w:val="28"/>
          <w:szCs w:val="28"/>
          <w:lang w:val="en-US" w:eastAsia="zh-CN"/>
        </w:rPr>
        <w:t>绩效评价原则</w:t>
      </w:r>
      <w:bookmarkEnd w:id="51"/>
      <w:bookmarkEnd w:id="52"/>
    </w:p>
    <w:p>
      <w:pPr>
        <w:keepNext w:val="0"/>
        <w:keepLines w:val="0"/>
        <w:pageBreakBefore w:val="0"/>
        <w:widowControl w:val="0"/>
        <w:numPr>
          <w:ilvl w:val="0"/>
          <w:numId w:val="5"/>
        </w:numPr>
        <w:kinsoku/>
        <w:wordWrap/>
        <w:overflowPunct/>
        <w:topLinePunct w:val="0"/>
        <w:autoSpaceDE/>
        <w:autoSpaceDN/>
        <w:bidi w:val="0"/>
        <w:adjustRightInd/>
        <w:snapToGrid/>
        <w:ind w:firstLine="560" w:firstLineChars="200"/>
        <w:jc w:val="both"/>
        <w:textAlignment w:val="auto"/>
        <w:rPr>
          <w:rFonts w:hint="default" w:ascii="Times New Roman" w:hAnsi="Times New Roman" w:eastAsia="仿宋_GB2312" w:cs="Times New Roman"/>
          <w:b w:val="0"/>
          <w:bCs w:val="0"/>
          <w:color w:val="auto"/>
          <w:kern w:val="0"/>
          <w:sz w:val="28"/>
          <w:szCs w:val="28"/>
          <w:lang w:val="en-US" w:eastAsia="zh-CN"/>
        </w:rPr>
      </w:pPr>
      <w:r>
        <w:rPr>
          <w:rFonts w:hint="default" w:ascii="Times New Roman" w:hAnsi="Times New Roman" w:eastAsia="仿宋_GB2312" w:cs="Times New Roman"/>
          <w:b w:val="0"/>
          <w:bCs w:val="0"/>
          <w:color w:val="auto"/>
          <w:kern w:val="0"/>
          <w:sz w:val="28"/>
          <w:szCs w:val="28"/>
          <w:lang w:val="en-US" w:eastAsia="zh-CN"/>
        </w:rPr>
        <w:t>科学公正</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default" w:ascii="Times New Roman" w:hAnsi="Times New Roman" w:eastAsia="仿宋_GB2312" w:cs="Times New Roman"/>
          <w:b w:val="0"/>
          <w:bCs w:val="0"/>
          <w:color w:val="auto"/>
          <w:kern w:val="0"/>
          <w:sz w:val="28"/>
          <w:szCs w:val="28"/>
          <w:lang w:val="en-US" w:eastAsia="zh-CN"/>
        </w:rPr>
      </w:pPr>
      <w:r>
        <w:rPr>
          <w:rFonts w:hint="default" w:ascii="Times New Roman" w:hAnsi="Times New Roman" w:eastAsia="仿宋_GB2312" w:cs="Times New Roman"/>
          <w:b w:val="0"/>
          <w:bCs w:val="0"/>
          <w:color w:val="auto"/>
          <w:kern w:val="0"/>
          <w:sz w:val="28"/>
          <w:szCs w:val="28"/>
          <w:lang w:val="en-US" w:eastAsia="zh-CN"/>
        </w:rPr>
        <w:t>绩效评价应当运用科学合理的方法，按照规范的程序，对项目绩效进行客观、公正的反映。</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eastAsia="仿宋_GB2312" w:cs="Times New Roman"/>
          <w:b w:val="0"/>
          <w:bCs w:val="0"/>
          <w:color w:val="auto"/>
          <w:kern w:val="0"/>
          <w:sz w:val="28"/>
          <w:szCs w:val="28"/>
          <w:lang w:val="en-US" w:eastAsia="zh-CN"/>
        </w:rPr>
      </w:pPr>
      <w:r>
        <w:rPr>
          <w:rFonts w:hint="default" w:ascii="Times New Roman" w:hAnsi="Times New Roman" w:eastAsia="仿宋_GB2312" w:cs="Times New Roman"/>
          <w:b w:val="0"/>
          <w:bCs w:val="0"/>
          <w:color w:val="auto"/>
          <w:kern w:val="0"/>
          <w:sz w:val="28"/>
          <w:szCs w:val="28"/>
          <w:lang w:val="en-US" w:eastAsia="zh-CN"/>
        </w:rPr>
        <w:t>统筹兼顾</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default" w:ascii="Times New Roman" w:hAnsi="Times New Roman" w:eastAsia="仿宋_GB2312" w:cs="Times New Roman"/>
          <w:b w:val="0"/>
          <w:bCs w:val="0"/>
          <w:color w:val="auto"/>
          <w:kern w:val="0"/>
          <w:sz w:val="28"/>
          <w:szCs w:val="28"/>
          <w:lang w:val="en-US" w:eastAsia="zh-CN"/>
        </w:rPr>
      </w:pPr>
      <w:r>
        <w:rPr>
          <w:rFonts w:hint="default" w:ascii="Times New Roman" w:hAnsi="Times New Roman" w:eastAsia="仿宋_GB2312" w:cs="Times New Roman"/>
          <w:b w:val="0"/>
          <w:bCs w:val="0"/>
          <w:color w:val="auto"/>
          <w:kern w:val="0"/>
          <w:sz w:val="28"/>
          <w:szCs w:val="28"/>
          <w:lang w:val="en-US" w:eastAsia="zh-CN"/>
        </w:rPr>
        <w:t>单位自评、部门评价和财政评价应职责明确，各有侧重，相互衔接。单位自评应由项目单位自主实施，即“谁支出、谁自评”。部门评价和财政评价应在单位自评的基础上开展，必要时可委托第三方机构实施。</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eastAsia="仿宋_GB2312" w:cs="Times New Roman"/>
          <w:b w:val="0"/>
          <w:bCs w:val="0"/>
          <w:color w:val="auto"/>
          <w:kern w:val="0"/>
          <w:sz w:val="28"/>
          <w:szCs w:val="28"/>
          <w:lang w:val="en-US" w:eastAsia="zh-CN"/>
        </w:rPr>
      </w:pPr>
      <w:r>
        <w:rPr>
          <w:rFonts w:hint="default" w:ascii="Times New Roman" w:hAnsi="Times New Roman" w:eastAsia="仿宋_GB2312" w:cs="Times New Roman"/>
          <w:b w:val="0"/>
          <w:bCs w:val="0"/>
          <w:color w:val="auto"/>
          <w:kern w:val="0"/>
          <w:sz w:val="28"/>
          <w:szCs w:val="28"/>
          <w:lang w:val="en-US" w:eastAsia="zh-CN"/>
        </w:rPr>
        <w:t>激励约束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default" w:ascii="Times New Roman" w:hAnsi="Times New Roman" w:eastAsia="仿宋_GB2312" w:cs="Times New Roman"/>
          <w:b w:val="0"/>
          <w:bCs w:val="0"/>
          <w:color w:val="auto"/>
          <w:kern w:val="0"/>
          <w:sz w:val="28"/>
          <w:szCs w:val="28"/>
          <w:lang w:val="en-US" w:eastAsia="zh-CN"/>
        </w:rPr>
      </w:pPr>
      <w:r>
        <w:rPr>
          <w:rFonts w:hint="default" w:ascii="Times New Roman" w:hAnsi="Times New Roman" w:eastAsia="仿宋_GB2312" w:cs="Times New Roman"/>
          <w:b w:val="0"/>
          <w:bCs w:val="0"/>
          <w:color w:val="auto"/>
          <w:kern w:val="0"/>
          <w:sz w:val="28"/>
          <w:szCs w:val="28"/>
          <w:lang w:val="en-US" w:eastAsia="zh-CN"/>
        </w:rPr>
        <w:t>绩效评价结果应与预算安排、政策调整、改进管理实质性挂钩，体现奖优罚劣和激励相容导向，有效要安排、低效要压减、无效要问责。</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eastAsia="仿宋_GB2312" w:cs="Times New Roman"/>
          <w:b w:val="0"/>
          <w:bCs w:val="0"/>
          <w:color w:val="auto"/>
          <w:kern w:val="0"/>
          <w:sz w:val="28"/>
          <w:szCs w:val="28"/>
          <w:lang w:val="en-US" w:eastAsia="zh-CN"/>
        </w:rPr>
      </w:pPr>
      <w:r>
        <w:rPr>
          <w:rFonts w:hint="default" w:ascii="Times New Roman" w:hAnsi="Times New Roman" w:eastAsia="仿宋_GB2312" w:cs="Times New Roman"/>
          <w:b w:val="0"/>
          <w:bCs w:val="0"/>
          <w:color w:val="auto"/>
          <w:kern w:val="0"/>
          <w:sz w:val="28"/>
          <w:szCs w:val="28"/>
          <w:lang w:val="en-US" w:eastAsia="zh-CN"/>
        </w:rPr>
        <w:t>公开透明</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both"/>
        <w:textAlignment w:val="auto"/>
        <w:rPr>
          <w:rFonts w:hint="default" w:ascii="Times New Roman" w:hAnsi="Times New Roman" w:eastAsia="仿宋_GB2312" w:cs="Times New Roman"/>
          <w:b w:val="0"/>
          <w:bCs w:val="0"/>
          <w:color w:val="auto"/>
          <w:kern w:val="0"/>
          <w:sz w:val="28"/>
          <w:szCs w:val="28"/>
          <w:lang w:val="en-US" w:eastAsia="zh-CN"/>
        </w:rPr>
      </w:pPr>
      <w:r>
        <w:rPr>
          <w:rFonts w:hint="default" w:ascii="Times New Roman" w:hAnsi="Times New Roman" w:eastAsia="仿宋_GB2312" w:cs="Times New Roman"/>
          <w:b w:val="0"/>
          <w:bCs w:val="0"/>
          <w:color w:val="auto"/>
          <w:kern w:val="0"/>
          <w:sz w:val="28"/>
          <w:szCs w:val="28"/>
          <w:lang w:val="en-US" w:eastAsia="zh-CN"/>
        </w:rPr>
        <w:t>绩效评价结果应依法依规公开，并自觉接受社会监督。</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both"/>
        <w:textAlignment w:val="auto"/>
        <w:outlineLvl w:val="2"/>
        <w:rPr>
          <w:rFonts w:hint="eastAsia" w:ascii="Times New Roman" w:hAnsi="Times New Roman" w:eastAsia="仿宋_GB2312" w:cs="Times New Roman"/>
          <w:b w:val="0"/>
          <w:bCs w:val="0"/>
          <w:color w:val="auto"/>
          <w:kern w:val="0"/>
          <w:sz w:val="28"/>
          <w:szCs w:val="28"/>
          <w:lang w:val="en-US" w:eastAsia="zh-CN"/>
        </w:rPr>
      </w:pPr>
      <w:bookmarkStart w:id="53" w:name="_Toc29390"/>
      <w:bookmarkStart w:id="54" w:name="_Toc32550"/>
      <w:r>
        <w:rPr>
          <w:rFonts w:hint="eastAsia" w:ascii="Times New Roman" w:hAnsi="Times New Roman" w:eastAsia="仿宋_GB2312" w:cs="Times New Roman"/>
          <w:b w:val="0"/>
          <w:bCs w:val="0"/>
          <w:color w:val="auto"/>
          <w:kern w:val="0"/>
          <w:sz w:val="28"/>
          <w:szCs w:val="28"/>
          <w:lang w:val="en-US" w:eastAsia="zh-CN"/>
        </w:rPr>
        <w:t>评价指标体系</w:t>
      </w:r>
      <w:bookmarkEnd w:id="53"/>
      <w:bookmarkEnd w:id="54"/>
    </w:p>
    <w:p>
      <w:pPr>
        <w:pStyle w:val="19"/>
        <w:spacing w:before="0" w:after="0"/>
        <w:ind w:firstLine="562"/>
        <w:rPr>
          <w:b w:val="0"/>
          <w:bCs w:val="0"/>
          <w:color w:val="000000"/>
          <w:kern w:val="2"/>
        </w:rPr>
      </w:pPr>
      <w:bookmarkStart w:id="55" w:name="_Toc17986"/>
      <w:bookmarkStart w:id="56" w:name="_Toc957"/>
      <w:bookmarkStart w:id="57" w:name="_Toc21140"/>
      <w:bookmarkStart w:id="58" w:name="_Toc22251"/>
      <w:bookmarkStart w:id="59" w:name="_Toc6934"/>
      <w:r>
        <w:rPr>
          <w:b w:val="0"/>
          <w:bCs w:val="0"/>
          <w:color w:val="000000"/>
          <w:kern w:val="2"/>
        </w:rPr>
        <w:t>（</w:t>
      </w:r>
      <w:r>
        <w:rPr>
          <w:rFonts w:hint="eastAsia"/>
          <w:b w:val="0"/>
          <w:bCs w:val="0"/>
          <w:color w:val="000000"/>
          <w:kern w:val="2"/>
          <w:lang w:val="en-US" w:eastAsia="zh-CN"/>
        </w:rPr>
        <w:t>1</w:t>
      </w:r>
      <w:r>
        <w:rPr>
          <w:b w:val="0"/>
          <w:bCs w:val="0"/>
          <w:color w:val="000000"/>
          <w:kern w:val="2"/>
        </w:rPr>
        <w:t>）指标体系设计思路</w:t>
      </w:r>
      <w:bookmarkEnd w:id="55"/>
      <w:bookmarkEnd w:id="56"/>
      <w:bookmarkEnd w:id="57"/>
      <w:bookmarkEnd w:id="58"/>
      <w:bookmarkEnd w:id="59"/>
    </w:p>
    <w:p>
      <w:pPr>
        <w:pStyle w:val="17"/>
        <w:ind w:firstLine="560"/>
        <w:rPr>
          <w:color w:val="000000"/>
        </w:rPr>
      </w:pPr>
      <w:r>
        <w:rPr>
          <w:color w:val="000000"/>
        </w:rPr>
        <w:t>根据绩效评价的基本原理、原则和项目特点，结合绩效目标，按照逻辑分析法设计评价指标体系，包括项目决策、项目管理、项目绩效三部分内容，体现从项目本身、执行到效果的逻辑路径。</w:t>
      </w:r>
    </w:p>
    <w:p>
      <w:pPr>
        <w:pStyle w:val="17"/>
        <w:ind w:firstLine="560"/>
        <w:rPr>
          <w:color w:val="000000"/>
        </w:rPr>
      </w:pPr>
      <w:r>
        <w:rPr>
          <w:color w:val="000000"/>
        </w:rPr>
        <w:t>指标体系包括三个部分：项目决策、项目管理、项目绩效，为一级指标。其下包含</w:t>
      </w:r>
      <w:r>
        <w:rPr>
          <w:rFonts w:hint="eastAsia"/>
          <w:color w:val="000000"/>
          <w:lang w:eastAsia="zh-CN"/>
        </w:rPr>
        <w:t>6</w:t>
      </w:r>
      <w:r>
        <w:rPr>
          <w:color w:val="000000"/>
        </w:rPr>
        <w:t>个二级指标和</w:t>
      </w:r>
      <w:r>
        <w:rPr>
          <w:rFonts w:hint="eastAsia"/>
          <w:color w:val="000000"/>
          <w:lang w:eastAsia="zh-CN"/>
        </w:rPr>
        <w:t>3</w:t>
      </w:r>
      <w:r>
        <w:rPr>
          <w:rFonts w:hint="eastAsia"/>
          <w:color w:val="000000"/>
          <w:lang w:val="en-US" w:eastAsia="zh-CN"/>
        </w:rPr>
        <w:t>4</w:t>
      </w:r>
      <w:r>
        <w:rPr>
          <w:color w:val="000000"/>
        </w:rPr>
        <w:t>个三级指标。指标数据来源于</w:t>
      </w:r>
      <w:r>
        <w:rPr>
          <w:rFonts w:hint="eastAsia"/>
          <w:color w:val="000000"/>
          <w:lang w:val="en-US" w:eastAsia="zh-CN"/>
        </w:rPr>
        <w:t>工作计划方案</w:t>
      </w:r>
      <w:r>
        <w:rPr>
          <w:color w:val="000000"/>
        </w:rPr>
        <w:t>、信息采集表、问卷调查、访谈等。指标标准值来源于项目绩效目标、</w:t>
      </w:r>
      <w:r>
        <w:rPr>
          <w:rFonts w:hint="eastAsia"/>
          <w:color w:val="000000"/>
          <w:lang w:val="en-US" w:eastAsia="zh-CN"/>
        </w:rPr>
        <w:t>计划</w:t>
      </w:r>
      <w:r>
        <w:rPr>
          <w:color w:val="000000"/>
        </w:rPr>
        <w:t>标准等。</w:t>
      </w:r>
    </w:p>
    <w:p>
      <w:pPr>
        <w:pStyle w:val="19"/>
        <w:ind w:firstLine="562"/>
        <w:rPr>
          <w:b w:val="0"/>
          <w:bCs w:val="0"/>
          <w:color w:val="auto"/>
        </w:rPr>
      </w:pPr>
      <w:bookmarkStart w:id="60" w:name="_Toc4472"/>
      <w:bookmarkStart w:id="61" w:name="_Toc2767"/>
      <w:bookmarkStart w:id="62" w:name="_Toc30439"/>
      <w:bookmarkStart w:id="63" w:name="_Toc30867"/>
      <w:r>
        <w:rPr>
          <w:b w:val="0"/>
          <w:bCs w:val="0"/>
          <w:color w:val="auto"/>
        </w:rPr>
        <w:t>（</w:t>
      </w:r>
      <w:r>
        <w:rPr>
          <w:rFonts w:hint="eastAsia"/>
          <w:b w:val="0"/>
          <w:bCs w:val="0"/>
          <w:color w:val="auto"/>
          <w:lang w:val="en-US" w:eastAsia="zh-CN"/>
        </w:rPr>
        <w:t>2</w:t>
      </w:r>
      <w:r>
        <w:rPr>
          <w:b w:val="0"/>
          <w:bCs w:val="0"/>
          <w:color w:val="auto"/>
        </w:rPr>
        <w:t>）指标体系</w:t>
      </w:r>
      <w:bookmarkEnd w:id="60"/>
      <w:bookmarkEnd w:id="61"/>
      <w:bookmarkEnd w:id="62"/>
      <w:bookmarkEnd w:id="63"/>
    </w:p>
    <w:p>
      <w:pPr>
        <w:pStyle w:val="17"/>
        <w:ind w:firstLine="560"/>
        <w:rPr>
          <w:rFonts w:hint="eastAsia" w:eastAsia="仿宋_GB2312"/>
          <w:color w:val="auto"/>
          <w:lang w:eastAsia="zh-CN"/>
        </w:rPr>
      </w:pPr>
      <w:r>
        <w:rPr>
          <w:color w:val="auto"/>
        </w:rPr>
        <w:t>评价指标体系见表3</w:t>
      </w:r>
      <w:r>
        <w:rPr>
          <w:rFonts w:hint="eastAsia"/>
          <w:color w:val="auto"/>
          <w:lang w:eastAsia="zh-CN"/>
        </w:rPr>
        <w:t>；</w:t>
      </w: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p>
      <w:pPr>
        <w:pStyle w:val="18"/>
        <w:rPr>
          <w:color w:val="auto"/>
        </w:rPr>
      </w:pPr>
    </w:p>
    <w:tbl>
      <w:tblPr>
        <w:tblStyle w:val="15"/>
        <w:tblpPr w:leftFromText="180" w:rightFromText="180" w:vertAnchor="text" w:horzAnchor="page" w:tblpX="1741" w:tblpY="695"/>
        <w:tblOverlap w:val="never"/>
        <w:tblW w:w="8522" w:type="dxa"/>
        <w:tblInd w:w="0" w:type="dxa"/>
        <w:tblLayout w:type="fixed"/>
        <w:tblCellMar>
          <w:top w:w="0" w:type="dxa"/>
          <w:left w:w="108" w:type="dxa"/>
          <w:bottom w:w="0" w:type="dxa"/>
          <w:right w:w="108" w:type="dxa"/>
        </w:tblCellMar>
      </w:tblPr>
      <w:tblGrid>
        <w:gridCol w:w="1874"/>
        <w:gridCol w:w="1821"/>
        <w:gridCol w:w="2266"/>
        <w:gridCol w:w="1163"/>
        <w:gridCol w:w="1398"/>
      </w:tblGrid>
      <w:tr>
        <w:tblPrEx>
          <w:tblLayout w:type="fixed"/>
          <w:tblCellMar>
            <w:top w:w="0" w:type="dxa"/>
            <w:left w:w="108" w:type="dxa"/>
            <w:bottom w:w="0" w:type="dxa"/>
            <w:right w:w="108" w:type="dxa"/>
          </w:tblCellMar>
        </w:tblPrEx>
        <w:trPr>
          <w:trHeight w:val="567" w:hRule="exact"/>
          <w:tblHeader/>
        </w:trPr>
        <w:tc>
          <w:tcPr>
            <w:tcW w:w="18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一级指标</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二级指标</w:t>
            </w:r>
          </w:p>
        </w:tc>
        <w:tc>
          <w:tcPr>
            <w:tcW w:w="2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三级指标</w:t>
            </w:r>
          </w:p>
        </w:tc>
        <w:tc>
          <w:tcPr>
            <w:tcW w:w="11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权重</w:t>
            </w:r>
          </w:p>
        </w:tc>
        <w:tc>
          <w:tcPr>
            <w:tcW w:w="1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标杆值</w:t>
            </w:r>
          </w:p>
        </w:tc>
      </w:tr>
      <w:tr>
        <w:tblPrEx>
          <w:tblLayout w:type="fixed"/>
          <w:tblCellMar>
            <w:top w:w="0" w:type="dxa"/>
            <w:left w:w="108" w:type="dxa"/>
            <w:bottom w:w="0" w:type="dxa"/>
            <w:right w:w="108" w:type="dxa"/>
          </w:tblCellMar>
        </w:tblPrEx>
        <w:trPr>
          <w:trHeight w:val="567" w:hRule="exact"/>
        </w:trPr>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项目决策（20）</w:t>
            </w:r>
          </w:p>
        </w:tc>
        <w:tc>
          <w:tcPr>
            <w:tcW w:w="182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项目目标（</w:t>
            </w:r>
            <w:r>
              <w:rPr>
                <w:rFonts w:hint="eastAsia" w:ascii="Times New Roman" w:hAnsi="Times New Roman" w:eastAsia="仿宋_GB2312" w:cs="Times New Roman"/>
                <w:kern w:val="0"/>
                <w:sz w:val="22"/>
                <w:szCs w:val="22"/>
                <w:lang w:val="en-US" w:eastAsia="zh-CN"/>
              </w:rPr>
              <w:t>8</w:t>
            </w:r>
            <w:r>
              <w:rPr>
                <w:rFonts w:ascii="Times New Roman" w:hAnsi="Times New Roman" w:eastAsia="仿宋_GB2312" w:cs="Times New Roman"/>
                <w:kern w:val="0"/>
                <w:sz w:val="22"/>
                <w:szCs w:val="22"/>
              </w:rPr>
              <w:t>）</w:t>
            </w: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目标内容</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8</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明确</w:t>
            </w:r>
          </w:p>
        </w:tc>
      </w:tr>
      <w:tr>
        <w:tblPrEx>
          <w:tblLayout w:type="fixed"/>
          <w:tblCellMar>
            <w:top w:w="0" w:type="dxa"/>
            <w:left w:w="108" w:type="dxa"/>
            <w:bottom w:w="0" w:type="dxa"/>
            <w:right w:w="108" w:type="dxa"/>
          </w:tblCellMar>
        </w:tblPrEx>
        <w:trPr>
          <w:trHeight w:val="567"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决策过程（</w:t>
            </w:r>
            <w:r>
              <w:rPr>
                <w:rFonts w:hint="eastAsia" w:ascii="Times New Roman" w:hAnsi="Times New Roman" w:eastAsia="仿宋_GB2312" w:cs="Times New Roman"/>
                <w:kern w:val="0"/>
                <w:sz w:val="22"/>
                <w:szCs w:val="22"/>
                <w:lang w:val="en-US" w:eastAsia="zh-CN"/>
              </w:rPr>
              <w:t>12</w:t>
            </w:r>
            <w:r>
              <w:rPr>
                <w:rFonts w:ascii="Times New Roman" w:hAnsi="Times New Roman" w:eastAsia="仿宋_GB2312" w:cs="Times New Roman"/>
                <w:kern w:val="0"/>
                <w:sz w:val="22"/>
                <w:szCs w:val="22"/>
              </w:rPr>
              <w:t>）</w:t>
            </w: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决策依据</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6</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充分</w:t>
            </w:r>
          </w:p>
        </w:tc>
      </w:tr>
      <w:tr>
        <w:tblPrEx>
          <w:tblLayout w:type="fixed"/>
          <w:tblCellMar>
            <w:top w:w="0" w:type="dxa"/>
            <w:left w:w="108" w:type="dxa"/>
            <w:bottom w:w="0" w:type="dxa"/>
            <w:right w:w="108" w:type="dxa"/>
          </w:tblCellMar>
        </w:tblPrEx>
        <w:trPr>
          <w:trHeight w:val="567"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决策程序</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6</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规范</w:t>
            </w:r>
          </w:p>
        </w:tc>
      </w:tr>
      <w:tr>
        <w:tblPrEx>
          <w:tblLayout w:type="fixed"/>
          <w:tblCellMar>
            <w:top w:w="0" w:type="dxa"/>
            <w:left w:w="108" w:type="dxa"/>
            <w:bottom w:w="0" w:type="dxa"/>
            <w:right w:w="108" w:type="dxa"/>
          </w:tblCellMar>
        </w:tblPrEx>
        <w:trPr>
          <w:trHeight w:val="567" w:hRule="exact"/>
        </w:trPr>
        <w:tc>
          <w:tcPr>
            <w:tcW w:w="1874"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项目管理（25）</w:t>
            </w:r>
          </w:p>
        </w:tc>
        <w:tc>
          <w:tcPr>
            <w:tcW w:w="18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资金</w:t>
            </w:r>
            <w:r>
              <w:rPr>
                <w:rFonts w:hint="eastAsia" w:ascii="Times New Roman" w:hAnsi="Times New Roman" w:eastAsia="仿宋_GB2312" w:cs="Times New Roman"/>
                <w:kern w:val="0"/>
                <w:sz w:val="22"/>
                <w:szCs w:val="22"/>
                <w:lang w:val="en-US" w:eastAsia="zh-CN"/>
              </w:rPr>
              <w:t>投入</w:t>
            </w:r>
            <w:r>
              <w:rPr>
                <w:rFonts w:ascii="Times New Roman" w:hAnsi="Times New Roman" w:eastAsia="仿宋_GB2312" w:cs="Times New Roman"/>
                <w:kern w:val="0"/>
                <w:sz w:val="22"/>
                <w:szCs w:val="22"/>
              </w:rPr>
              <w:t>（8）</w:t>
            </w: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预算编制</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2</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规范</w:t>
            </w:r>
          </w:p>
        </w:tc>
      </w:tr>
      <w:tr>
        <w:tblPrEx>
          <w:tblLayout w:type="fixed"/>
          <w:tblCellMar>
            <w:top w:w="0" w:type="dxa"/>
            <w:left w:w="108" w:type="dxa"/>
            <w:bottom w:w="0" w:type="dxa"/>
            <w:right w:w="108" w:type="dxa"/>
          </w:tblCellMar>
        </w:tblPrEx>
        <w:trPr>
          <w:trHeight w:val="567" w:hRule="exact"/>
        </w:trPr>
        <w:tc>
          <w:tcPr>
            <w:tcW w:w="1874"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资金分配</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3</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合理</w:t>
            </w:r>
          </w:p>
        </w:tc>
      </w:tr>
      <w:tr>
        <w:tblPrEx>
          <w:tblLayout w:type="fixed"/>
          <w:tblCellMar>
            <w:top w:w="0" w:type="dxa"/>
            <w:left w:w="108" w:type="dxa"/>
            <w:bottom w:w="0" w:type="dxa"/>
            <w:right w:w="108" w:type="dxa"/>
          </w:tblCellMar>
        </w:tblPrEx>
        <w:trPr>
          <w:trHeight w:val="567" w:hRule="exact"/>
        </w:trPr>
        <w:tc>
          <w:tcPr>
            <w:tcW w:w="1874"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p>
        </w:tc>
        <w:tc>
          <w:tcPr>
            <w:tcW w:w="1821"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资金管理（10）</w:t>
            </w: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lang w:val="en-US" w:eastAsia="zh-CN"/>
              </w:rPr>
              <w:t>资金</w:t>
            </w:r>
            <w:r>
              <w:rPr>
                <w:rFonts w:ascii="Times New Roman" w:hAnsi="Times New Roman" w:eastAsia="仿宋_GB2312" w:cs="Times New Roman"/>
                <w:kern w:val="0"/>
                <w:sz w:val="22"/>
                <w:szCs w:val="22"/>
              </w:rPr>
              <w:t>到位率</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6</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100%</w:t>
            </w:r>
          </w:p>
        </w:tc>
      </w:tr>
      <w:tr>
        <w:tblPrEx>
          <w:tblLayout w:type="fixed"/>
          <w:tblCellMar>
            <w:top w:w="0" w:type="dxa"/>
            <w:left w:w="108" w:type="dxa"/>
            <w:bottom w:w="0" w:type="dxa"/>
            <w:right w:w="108" w:type="dxa"/>
          </w:tblCellMar>
        </w:tblPrEx>
        <w:trPr>
          <w:trHeight w:val="567" w:hRule="exact"/>
        </w:trPr>
        <w:tc>
          <w:tcPr>
            <w:tcW w:w="1874"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val="en-US" w:eastAsia="zh-CN"/>
              </w:rPr>
            </w:pPr>
            <w:r>
              <w:rPr>
                <w:rFonts w:ascii="Times New Roman" w:hAnsi="Times New Roman" w:eastAsia="仿宋_GB2312" w:cs="Times New Roman"/>
                <w:kern w:val="0"/>
                <w:sz w:val="22"/>
                <w:szCs w:val="22"/>
              </w:rPr>
              <w:t>预算执行</w:t>
            </w:r>
            <w:r>
              <w:rPr>
                <w:rFonts w:hint="eastAsia" w:ascii="Times New Roman" w:hAnsi="Times New Roman" w:eastAsia="仿宋_GB2312" w:cs="Times New Roman"/>
                <w:kern w:val="0"/>
                <w:sz w:val="22"/>
                <w:szCs w:val="22"/>
                <w:lang w:val="en-US" w:eastAsia="zh-CN"/>
              </w:rPr>
              <w:t>率</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3</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100%</w:t>
            </w:r>
          </w:p>
        </w:tc>
      </w:tr>
      <w:tr>
        <w:tblPrEx>
          <w:tblLayout w:type="fixed"/>
          <w:tblCellMar>
            <w:top w:w="0" w:type="dxa"/>
            <w:left w:w="108" w:type="dxa"/>
            <w:bottom w:w="0" w:type="dxa"/>
            <w:right w:w="108" w:type="dxa"/>
          </w:tblCellMar>
        </w:tblPrEx>
        <w:trPr>
          <w:trHeight w:val="567" w:hRule="exact"/>
        </w:trPr>
        <w:tc>
          <w:tcPr>
            <w:tcW w:w="1874"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资金使用合规性</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1</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规范</w:t>
            </w:r>
          </w:p>
        </w:tc>
      </w:tr>
      <w:tr>
        <w:tblPrEx>
          <w:tblLayout w:type="fixed"/>
          <w:tblCellMar>
            <w:top w:w="0" w:type="dxa"/>
            <w:left w:w="108" w:type="dxa"/>
            <w:bottom w:w="0" w:type="dxa"/>
            <w:right w:w="108" w:type="dxa"/>
          </w:tblCellMar>
        </w:tblPrEx>
        <w:trPr>
          <w:trHeight w:val="567" w:hRule="exact"/>
        </w:trPr>
        <w:tc>
          <w:tcPr>
            <w:tcW w:w="1874"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组织实施（10）</w:t>
            </w: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组织机构</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5</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健全</w:t>
            </w:r>
          </w:p>
        </w:tc>
      </w:tr>
      <w:tr>
        <w:tblPrEx>
          <w:tblLayout w:type="fixed"/>
          <w:tblCellMar>
            <w:top w:w="0" w:type="dxa"/>
            <w:left w:w="108" w:type="dxa"/>
            <w:bottom w:w="0" w:type="dxa"/>
            <w:right w:w="108" w:type="dxa"/>
          </w:tblCellMar>
        </w:tblPrEx>
        <w:trPr>
          <w:trHeight w:val="567" w:hRule="exact"/>
        </w:trPr>
        <w:tc>
          <w:tcPr>
            <w:tcW w:w="1874"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管理制度</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5</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健全</w:t>
            </w:r>
          </w:p>
        </w:tc>
      </w:tr>
      <w:tr>
        <w:tblPrEx>
          <w:tblLayout w:type="fixed"/>
          <w:tblCellMar>
            <w:top w:w="0" w:type="dxa"/>
            <w:left w:w="108" w:type="dxa"/>
            <w:bottom w:w="0" w:type="dxa"/>
            <w:right w:w="108" w:type="dxa"/>
          </w:tblCellMar>
        </w:tblPrEx>
        <w:trPr>
          <w:trHeight w:val="567" w:hRule="exact"/>
        </w:trPr>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项目绩效（55）</w:t>
            </w:r>
          </w:p>
        </w:tc>
        <w:tc>
          <w:tcPr>
            <w:tcW w:w="18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项目产出（</w:t>
            </w:r>
            <w:r>
              <w:rPr>
                <w:rFonts w:hint="eastAsia" w:ascii="Times New Roman" w:hAnsi="Times New Roman" w:eastAsia="仿宋_GB2312" w:cs="Times New Roman"/>
                <w:kern w:val="0"/>
                <w:sz w:val="22"/>
                <w:szCs w:val="22"/>
                <w:lang w:val="en-US" w:eastAsia="zh-CN"/>
              </w:rPr>
              <w:t>30</w:t>
            </w:r>
            <w:r>
              <w:rPr>
                <w:rFonts w:ascii="Times New Roman" w:hAnsi="Times New Roman" w:eastAsia="仿宋_GB2312" w:cs="Times New Roman"/>
                <w:kern w:val="0"/>
                <w:sz w:val="22"/>
                <w:szCs w:val="22"/>
              </w:rPr>
              <w:t>）</w:t>
            </w: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计划完成率</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12</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100%</w:t>
            </w:r>
          </w:p>
        </w:tc>
      </w:tr>
      <w:tr>
        <w:tblPrEx>
          <w:tblLayout w:type="fixed"/>
          <w:tblCellMar>
            <w:top w:w="0" w:type="dxa"/>
            <w:left w:w="108" w:type="dxa"/>
            <w:bottom w:w="0" w:type="dxa"/>
            <w:right w:w="108" w:type="dxa"/>
          </w:tblCellMar>
        </w:tblPrEx>
        <w:trPr>
          <w:trHeight w:val="567"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验收合格率</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7</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100%</w:t>
            </w:r>
          </w:p>
        </w:tc>
      </w:tr>
      <w:tr>
        <w:tblPrEx>
          <w:tblLayout w:type="fixed"/>
          <w:tblCellMar>
            <w:top w:w="0" w:type="dxa"/>
            <w:left w:w="108" w:type="dxa"/>
            <w:bottom w:w="0" w:type="dxa"/>
            <w:right w:w="108" w:type="dxa"/>
          </w:tblCellMar>
        </w:tblPrEx>
        <w:trPr>
          <w:trHeight w:val="567"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完成及时率</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7</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100%</w:t>
            </w:r>
          </w:p>
        </w:tc>
      </w:tr>
      <w:tr>
        <w:tblPrEx>
          <w:tblLayout w:type="fixed"/>
          <w:tblCellMar>
            <w:top w:w="0" w:type="dxa"/>
            <w:left w:w="108" w:type="dxa"/>
            <w:bottom w:w="0" w:type="dxa"/>
            <w:right w:w="108" w:type="dxa"/>
          </w:tblCellMar>
        </w:tblPrEx>
        <w:trPr>
          <w:trHeight w:val="567"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成本控制率</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4</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≤100%</w:t>
            </w:r>
          </w:p>
        </w:tc>
      </w:tr>
      <w:tr>
        <w:tblPrEx>
          <w:tblLayout w:type="fixed"/>
          <w:tblCellMar>
            <w:top w:w="0" w:type="dxa"/>
            <w:left w:w="108" w:type="dxa"/>
            <w:bottom w:w="0" w:type="dxa"/>
            <w:right w:w="108" w:type="dxa"/>
          </w:tblCellMar>
        </w:tblPrEx>
        <w:trPr>
          <w:trHeight w:val="617"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项目效果 （</w:t>
            </w:r>
            <w:r>
              <w:rPr>
                <w:rFonts w:hint="eastAsia" w:ascii="Times New Roman" w:hAnsi="Times New Roman" w:eastAsia="仿宋_GB2312" w:cs="Times New Roman"/>
                <w:kern w:val="0"/>
                <w:sz w:val="22"/>
                <w:szCs w:val="22"/>
                <w:lang w:val="en-US" w:eastAsia="zh-CN"/>
              </w:rPr>
              <w:t>25</w:t>
            </w:r>
            <w:r>
              <w:rPr>
                <w:rFonts w:ascii="Times New Roman" w:hAnsi="Times New Roman" w:eastAsia="仿宋_GB2312" w:cs="Times New Roman"/>
                <w:kern w:val="0"/>
                <w:sz w:val="22"/>
                <w:szCs w:val="22"/>
              </w:rPr>
              <w:t>）</w:t>
            </w: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完善立法机制、立法质量提升率</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5</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2"/>
                <w:szCs w:val="22"/>
                <w:lang w:val="en-US" w:eastAsia="zh-CN"/>
              </w:rPr>
            </w:pP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lang w:val="en-US" w:eastAsia="zh-CN"/>
              </w:rPr>
              <w:t>90%</w:t>
            </w:r>
          </w:p>
        </w:tc>
      </w:tr>
      <w:tr>
        <w:tblPrEx>
          <w:tblLayout w:type="fixed"/>
          <w:tblCellMar>
            <w:top w:w="0" w:type="dxa"/>
            <w:left w:w="108" w:type="dxa"/>
            <w:bottom w:w="0" w:type="dxa"/>
            <w:right w:w="108" w:type="dxa"/>
          </w:tblCellMar>
        </w:tblPrEx>
        <w:trPr>
          <w:trHeight w:val="567"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社会大众法律知晓度</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5</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lang w:val="en-US" w:eastAsia="zh-CN"/>
              </w:rPr>
              <w:t>提高</w:t>
            </w:r>
          </w:p>
        </w:tc>
      </w:tr>
      <w:tr>
        <w:tblPrEx>
          <w:tblLayout w:type="fixed"/>
          <w:tblCellMar>
            <w:top w:w="0" w:type="dxa"/>
            <w:left w:w="108" w:type="dxa"/>
            <w:bottom w:w="0" w:type="dxa"/>
            <w:right w:w="108" w:type="dxa"/>
          </w:tblCellMar>
        </w:tblPrEx>
        <w:trPr>
          <w:trHeight w:val="713"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2"/>
                <w:szCs w:val="22"/>
                <w:lang w:val="en-US" w:eastAsia="zh-CN"/>
              </w:rPr>
            </w:pPr>
            <w:r>
              <w:rPr>
                <w:rFonts w:hint="eastAsia" w:ascii="Times New Roman" w:hAnsi="Times New Roman" w:eastAsia="仿宋_GB2312" w:cs="Times New Roman"/>
                <w:kern w:val="0"/>
                <w:sz w:val="22"/>
                <w:szCs w:val="22"/>
                <w:lang w:val="en-US" w:eastAsia="zh-CN"/>
              </w:rPr>
              <w:t>条例实施对社会的影响度</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6</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lang w:val="en-US" w:eastAsia="zh-CN"/>
              </w:rPr>
              <w:t>95</w:t>
            </w:r>
            <w:r>
              <w:rPr>
                <w:rFonts w:ascii="Times New Roman" w:hAnsi="Times New Roman" w:eastAsia="仿宋_GB2312" w:cs="Times New Roman"/>
                <w:kern w:val="0"/>
                <w:sz w:val="22"/>
                <w:szCs w:val="22"/>
              </w:rPr>
              <w:t>%</w:t>
            </w:r>
          </w:p>
        </w:tc>
      </w:tr>
      <w:tr>
        <w:tblPrEx>
          <w:tblLayout w:type="fixed"/>
          <w:tblCellMar>
            <w:top w:w="0" w:type="dxa"/>
            <w:left w:w="108" w:type="dxa"/>
            <w:bottom w:w="0" w:type="dxa"/>
            <w:right w:w="108" w:type="dxa"/>
          </w:tblCellMar>
        </w:tblPrEx>
        <w:trPr>
          <w:trHeight w:val="567"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lang w:val="en-US" w:eastAsia="zh-CN"/>
              </w:rPr>
              <w:t>立法参与人员</w:t>
            </w:r>
            <w:r>
              <w:rPr>
                <w:rFonts w:ascii="Times New Roman" w:hAnsi="Times New Roman" w:eastAsia="仿宋_GB2312" w:cs="Times New Roman"/>
                <w:kern w:val="0"/>
                <w:sz w:val="22"/>
                <w:szCs w:val="22"/>
              </w:rPr>
              <w:t>满意度</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4</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lang w:val="en-US" w:eastAsia="zh-CN"/>
              </w:rPr>
              <w:t>90</w:t>
            </w:r>
            <w:r>
              <w:rPr>
                <w:rFonts w:ascii="Times New Roman" w:hAnsi="Times New Roman" w:eastAsia="仿宋_GB2312" w:cs="Times New Roman"/>
                <w:kern w:val="0"/>
                <w:sz w:val="22"/>
                <w:szCs w:val="22"/>
              </w:rPr>
              <w:t>%</w:t>
            </w:r>
          </w:p>
        </w:tc>
      </w:tr>
      <w:tr>
        <w:tblPrEx>
          <w:tblLayout w:type="fixed"/>
          <w:tblCellMar>
            <w:top w:w="0" w:type="dxa"/>
            <w:left w:w="108" w:type="dxa"/>
            <w:bottom w:w="0" w:type="dxa"/>
            <w:right w:w="108" w:type="dxa"/>
          </w:tblCellMar>
        </w:tblPrEx>
        <w:trPr>
          <w:trHeight w:val="567" w:hRule="exact"/>
        </w:trPr>
        <w:tc>
          <w:tcPr>
            <w:tcW w:w="1874"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1821"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2"/>
                <w:szCs w:val="22"/>
              </w:rPr>
            </w:pPr>
          </w:p>
        </w:tc>
        <w:tc>
          <w:tcPr>
            <w:tcW w:w="226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hint="eastAsia" w:ascii="Times New Roman" w:hAnsi="Times New Roman" w:eastAsia="仿宋_GB2312" w:cs="Times New Roman"/>
                <w:kern w:val="0"/>
                <w:sz w:val="22"/>
                <w:szCs w:val="22"/>
                <w:lang w:val="en-US" w:eastAsia="zh-CN"/>
              </w:rPr>
              <w:t>社会人群</w:t>
            </w:r>
            <w:r>
              <w:rPr>
                <w:rFonts w:ascii="Times New Roman" w:hAnsi="Times New Roman" w:eastAsia="仿宋_GB2312" w:cs="Times New Roman"/>
                <w:kern w:val="0"/>
                <w:sz w:val="22"/>
                <w:szCs w:val="22"/>
              </w:rPr>
              <w:t>满意度</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2"/>
                <w:szCs w:val="22"/>
                <w:lang w:eastAsia="zh-CN"/>
              </w:rPr>
            </w:pPr>
            <w:r>
              <w:rPr>
                <w:rFonts w:hint="eastAsia" w:ascii="Times New Roman" w:hAnsi="Times New Roman" w:eastAsia="仿宋_GB2312" w:cs="Times New Roman"/>
                <w:kern w:val="0"/>
                <w:sz w:val="22"/>
                <w:szCs w:val="22"/>
                <w:lang w:val="en-US" w:eastAsia="zh-CN"/>
              </w:rPr>
              <w:t>5</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2"/>
                <w:szCs w:val="22"/>
              </w:rPr>
            </w:pPr>
            <w:r>
              <w:rPr>
                <w:rFonts w:ascii="Times New Roman" w:hAnsi="Times New Roman" w:eastAsia="仿宋_GB2312" w:cs="Times New Roman"/>
                <w:kern w:val="0"/>
                <w:sz w:val="22"/>
                <w:szCs w:val="22"/>
              </w:rPr>
              <w:t>≥</w:t>
            </w:r>
            <w:r>
              <w:rPr>
                <w:rFonts w:hint="eastAsia" w:ascii="Times New Roman" w:hAnsi="Times New Roman" w:eastAsia="仿宋_GB2312" w:cs="Times New Roman"/>
                <w:kern w:val="0"/>
                <w:sz w:val="22"/>
                <w:szCs w:val="22"/>
                <w:lang w:val="en-US" w:eastAsia="zh-CN"/>
              </w:rPr>
              <w:t>90</w:t>
            </w:r>
            <w:r>
              <w:rPr>
                <w:rFonts w:ascii="Times New Roman" w:hAnsi="Times New Roman" w:eastAsia="仿宋_GB2312" w:cs="Times New Roman"/>
                <w:kern w:val="0"/>
                <w:sz w:val="22"/>
                <w:szCs w:val="22"/>
              </w:rPr>
              <w:t>%</w:t>
            </w:r>
          </w:p>
        </w:tc>
      </w:tr>
      <w:tr>
        <w:tblPrEx>
          <w:tblLayout w:type="fixed"/>
          <w:tblCellMar>
            <w:top w:w="0" w:type="dxa"/>
            <w:left w:w="108" w:type="dxa"/>
            <w:bottom w:w="0" w:type="dxa"/>
            <w:right w:w="108" w:type="dxa"/>
          </w:tblCellMar>
        </w:tblPrEx>
        <w:trPr>
          <w:trHeight w:val="567" w:hRule="exact"/>
        </w:trPr>
        <w:tc>
          <w:tcPr>
            <w:tcW w:w="596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合计</w:t>
            </w:r>
          </w:p>
        </w:tc>
        <w:tc>
          <w:tcPr>
            <w:tcW w:w="116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100</w:t>
            </w:r>
          </w:p>
        </w:tc>
        <w:tc>
          <w:tcPr>
            <w:tcW w:w="1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 w:val="22"/>
                <w:szCs w:val="22"/>
              </w:rPr>
            </w:pPr>
            <w:r>
              <w:rPr>
                <w:rFonts w:ascii="Times New Roman" w:hAnsi="Times New Roman" w:eastAsia="仿宋_GB2312" w:cs="Times New Roman"/>
                <w:b/>
                <w:bCs/>
                <w:kern w:val="0"/>
                <w:sz w:val="22"/>
                <w:szCs w:val="22"/>
              </w:rPr>
              <w:t>-</w:t>
            </w:r>
          </w:p>
        </w:tc>
      </w:tr>
    </w:tbl>
    <w:p>
      <w:pPr>
        <w:pStyle w:val="18"/>
        <w:rPr>
          <w:rFonts w:hint="eastAsia"/>
          <w:color w:val="auto"/>
        </w:rPr>
      </w:pPr>
      <w:r>
        <w:rPr>
          <w:color w:val="auto"/>
        </w:rPr>
        <w:t>表</w:t>
      </w:r>
      <w:r>
        <w:rPr>
          <w:rFonts w:hint="eastAsia"/>
          <w:color w:val="auto"/>
        </w:rPr>
        <w:t>3</w:t>
      </w:r>
      <w:r>
        <w:rPr>
          <w:rFonts w:hint="eastAsia"/>
          <w:color w:val="auto"/>
          <w:lang w:val="en-US" w:eastAsia="zh-CN"/>
        </w:rPr>
        <w:t xml:space="preserve">. </w:t>
      </w:r>
      <w:r>
        <w:rPr>
          <w:rFonts w:hint="eastAsia"/>
          <w:color w:val="auto"/>
        </w:rPr>
        <w:t xml:space="preserve"> 201</w:t>
      </w:r>
      <w:r>
        <w:rPr>
          <w:rFonts w:hint="eastAsia"/>
          <w:color w:val="auto"/>
          <w:lang w:eastAsia="zh-CN"/>
        </w:rPr>
        <w:t>9</w:t>
      </w:r>
      <w:r>
        <w:rPr>
          <w:rFonts w:hint="eastAsia"/>
          <w:color w:val="auto"/>
        </w:rPr>
        <w:t>年度</w:t>
      </w:r>
      <w:r>
        <w:rPr>
          <w:rFonts w:hint="eastAsia"/>
          <w:color w:val="auto"/>
          <w:lang w:eastAsia="zh-CN"/>
        </w:rPr>
        <w:t>立法</w:t>
      </w:r>
      <w:r>
        <w:rPr>
          <w:rFonts w:hint="eastAsia"/>
          <w:color w:val="auto"/>
        </w:rPr>
        <w:t>专项资金</w:t>
      </w:r>
      <w:r>
        <w:rPr>
          <w:color w:val="auto"/>
        </w:rPr>
        <w:t>绩效评价指标</w:t>
      </w:r>
      <w:r>
        <w:rPr>
          <w:rFonts w:hint="eastAsia"/>
          <w:color w:val="auto"/>
        </w:rPr>
        <w:t>体系</w:t>
      </w:r>
    </w:p>
    <w:p>
      <w:pPr>
        <w:pStyle w:val="19"/>
        <w:numPr>
          <w:ilvl w:val="0"/>
          <w:numId w:val="6"/>
        </w:numPr>
        <w:ind w:firstLine="562"/>
        <w:rPr>
          <w:rFonts w:hint="default"/>
          <w:b w:val="0"/>
          <w:bCs w:val="0"/>
          <w:color w:val="auto"/>
          <w:lang w:val="en-US" w:eastAsia="zh-CN"/>
        </w:rPr>
      </w:pPr>
      <w:bookmarkStart w:id="64" w:name="_Toc26042"/>
      <w:bookmarkStart w:id="65" w:name="_Toc28818"/>
      <w:bookmarkStart w:id="66" w:name="_Toc25734"/>
      <w:bookmarkStart w:id="67" w:name="_Toc27208"/>
      <w:r>
        <w:rPr>
          <w:rFonts w:hint="default"/>
          <w:b w:val="0"/>
          <w:bCs w:val="0"/>
          <w:color w:val="auto"/>
          <w:lang w:val="en-US" w:eastAsia="zh-CN"/>
        </w:rPr>
        <w:t>评价方法</w:t>
      </w:r>
      <w:bookmarkEnd w:id="64"/>
      <w:bookmarkEnd w:id="65"/>
      <w:bookmarkEnd w:id="66"/>
      <w:bookmarkEnd w:id="67"/>
    </w:p>
    <w:p>
      <w:pPr>
        <w:pStyle w:val="19"/>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b w:val="0"/>
          <w:bCs w:val="0"/>
          <w:color w:val="auto"/>
          <w:lang w:val="en-US" w:eastAsia="zh-CN"/>
        </w:rPr>
      </w:pPr>
      <w:bookmarkStart w:id="68" w:name="_Toc15655"/>
      <w:bookmarkStart w:id="69" w:name="_Toc15923"/>
      <w:bookmarkStart w:id="70" w:name="_Toc31352"/>
      <w:bookmarkStart w:id="71" w:name="_Toc17442"/>
      <w:r>
        <w:rPr>
          <w:rFonts w:hint="default"/>
          <w:b w:val="0"/>
          <w:bCs w:val="0"/>
          <w:color w:val="auto"/>
          <w:lang w:val="en-US" w:eastAsia="zh-CN"/>
        </w:rPr>
        <w:t>本次评价运用文献法、问卷调查法、现场测定法、查账核实法等方法，同时通过资料搜索、多因素分析来支撑评价的逻辑紧密性与客观性。本次评价坚持定量优先、定量与定性相结合的方式，始终遵循科学规范、公正公开、分级分类、绩效相关的基本原则。</w:t>
      </w:r>
      <w:bookmarkEnd w:id="68"/>
      <w:bookmarkEnd w:id="69"/>
      <w:bookmarkEnd w:id="70"/>
      <w:bookmarkEnd w:id="71"/>
    </w:p>
    <w:p>
      <w:pPr>
        <w:pStyle w:val="19"/>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b w:val="0"/>
          <w:bCs w:val="0"/>
          <w:color w:val="auto"/>
          <w:lang w:val="en-US" w:eastAsia="zh-CN"/>
        </w:rPr>
      </w:pPr>
      <w:bookmarkStart w:id="72" w:name="_Toc8866"/>
      <w:bookmarkStart w:id="73" w:name="_Toc11847"/>
      <w:bookmarkStart w:id="74" w:name="_Toc22563"/>
      <w:bookmarkStart w:id="75" w:name="_Toc16245"/>
      <w:r>
        <w:rPr>
          <w:rFonts w:hint="default"/>
          <w:b w:val="0"/>
          <w:bCs w:val="0"/>
          <w:color w:val="auto"/>
          <w:lang w:val="en-US" w:eastAsia="zh-CN"/>
        </w:rPr>
        <w:t>1</w:t>
      </w:r>
      <w:r>
        <w:rPr>
          <w:rFonts w:hint="eastAsia"/>
          <w:b w:val="0"/>
          <w:bCs w:val="0"/>
          <w:color w:val="auto"/>
          <w:lang w:val="en-US" w:eastAsia="zh-CN"/>
        </w:rPr>
        <w:t>）</w:t>
      </w:r>
      <w:r>
        <w:rPr>
          <w:rFonts w:hint="default"/>
          <w:b w:val="0"/>
          <w:bCs w:val="0"/>
          <w:color w:val="auto"/>
          <w:lang w:val="en-US" w:eastAsia="zh-CN"/>
        </w:rPr>
        <w:t>文献法：通过广泛收集、查阅本项目相关的国家、省、市的管理办法、操作规程等文件，并将</w:t>
      </w:r>
      <w:r>
        <w:rPr>
          <w:rFonts w:hint="eastAsia"/>
          <w:b w:val="0"/>
          <w:bCs w:val="0"/>
          <w:color w:val="auto"/>
          <w:lang w:val="en-US" w:eastAsia="zh-CN"/>
        </w:rPr>
        <w:t>甘肃省</w:t>
      </w:r>
      <w:r>
        <w:rPr>
          <w:rFonts w:hint="default"/>
          <w:b w:val="0"/>
          <w:bCs w:val="0"/>
          <w:color w:val="auto"/>
          <w:lang w:val="en-US" w:eastAsia="zh-CN"/>
        </w:rPr>
        <w:t>、第三方服务机构的管理办法、实施细则与上级文件进行对比，考察相关管理办法的完整性、合规性。</w:t>
      </w:r>
      <w:bookmarkEnd w:id="72"/>
      <w:bookmarkEnd w:id="73"/>
      <w:bookmarkEnd w:id="74"/>
      <w:bookmarkEnd w:id="75"/>
    </w:p>
    <w:p>
      <w:pPr>
        <w:pStyle w:val="19"/>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b w:val="0"/>
          <w:bCs w:val="0"/>
          <w:color w:val="auto"/>
          <w:lang w:val="en-US" w:eastAsia="zh-CN"/>
        </w:rPr>
      </w:pPr>
      <w:bookmarkStart w:id="76" w:name="_Toc14475"/>
      <w:bookmarkStart w:id="77" w:name="_Toc15469"/>
      <w:bookmarkStart w:id="78" w:name="_Toc1130"/>
      <w:bookmarkStart w:id="79" w:name="_Toc27873"/>
      <w:r>
        <w:rPr>
          <w:rFonts w:hint="default"/>
          <w:b w:val="0"/>
          <w:bCs w:val="0"/>
          <w:color w:val="auto"/>
          <w:lang w:val="en-US" w:eastAsia="zh-CN"/>
        </w:rPr>
        <w:t>2</w:t>
      </w:r>
      <w:r>
        <w:rPr>
          <w:rFonts w:hint="eastAsia"/>
          <w:b w:val="0"/>
          <w:bCs w:val="0"/>
          <w:color w:val="auto"/>
          <w:lang w:val="en-US" w:eastAsia="zh-CN"/>
        </w:rPr>
        <w:t>）</w:t>
      </w:r>
      <w:r>
        <w:rPr>
          <w:rFonts w:hint="default"/>
          <w:b w:val="0"/>
          <w:bCs w:val="0"/>
          <w:color w:val="auto"/>
          <w:lang w:val="en-US" w:eastAsia="zh-CN"/>
        </w:rPr>
        <w:t>问卷调查法：通过对</w:t>
      </w:r>
      <w:r>
        <w:rPr>
          <w:rFonts w:hint="eastAsia"/>
          <w:b w:val="0"/>
          <w:bCs w:val="0"/>
          <w:color w:val="auto"/>
          <w:lang w:val="en-US" w:eastAsia="zh-CN"/>
        </w:rPr>
        <w:t>参与立法人员及社会人群</w:t>
      </w:r>
      <w:r>
        <w:rPr>
          <w:rFonts w:hint="default"/>
          <w:b w:val="0"/>
          <w:bCs w:val="0"/>
          <w:color w:val="auto"/>
          <w:lang w:val="en-US" w:eastAsia="zh-CN"/>
        </w:rPr>
        <w:t>满意度情况展开满意度调查，了解</w:t>
      </w:r>
      <w:r>
        <w:rPr>
          <w:rFonts w:hint="eastAsia"/>
          <w:b w:val="0"/>
          <w:bCs w:val="0"/>
          <w:color w:val="auto"/>
          <w:lang w:val="en-US" w:eastAsia="zh-CN"/>
        </w:rPr>
        <w:t>参与立法人员及社会人群</w:t>
      </w:r>
      <w:r>
        <w:rPr>
          <w:rFonts w:hint="default"/>
          <w:b w:val="0"/>
          <w:bCs w:val="0"/>
          <w:color w:val="auto"/>
          <w:lang w:val="en-US" w:eastAsia="zh-CN"/>
        </w:rPr>
        <w:t>对</w:t>
      </w:r>
      <w:r>
        <w:rPr>
          <w:rFonts w:hint="eastAsia"/>
          <w:b w:val="0"/>
          <w:bCs w:val="0"/>
          <w:color w:val="auto"/>
          <w:lang w:val="en-US" w:eastAsia="zh-CN"/>
        </w:rPr>
        <w:t>甘肃省人民代表大会常务委员会立法</w:t>
      </w:r>
      <w:r>
        <w:rPr>
          <w:rFonts w:hint="default"/>
          <w:b w:val="0"/>
          <w:bCs w:val="0"/>
          <w:color w:val="auto"/>
          <w:lang w:val="en-US" w:eastAsia="zh-CN"/>
        </w:rPr>
        <w:t>情况评价，以考察专项资金的实施效果。</w:t>
      </w:r>
      <w:bookmarkEnd w:id="76"/>
      <w:bookmarkEnd w:id="77"/>
      <w:bookmarkEnd w:id="78"/>
      <w:bookmarkEnd w:id="79"/>
    </w:p>
    <w:p>
      <w:pPr>
        <w:pStyle w:val="19"/>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b w:val="0"/>
          <w:bCs w:val="0"/>
          <w:color w:val="auto"/>
          <w:lang w:val="en-US" w:eastAsia="zh-CN"/>
        </w:rPr>
      </w:pPr>
      <w:bookmarkStart w:id="80" w:name="_Toc26600"/>
      <w:bookmarkStart w:id="81" w:name="_Toc17852"/>
      <w:bookmarkStart w:id="82" w:name="_Toc23581"/>
      <w:bookmarkStart w:id="83" w:name="_Toc21700"/>
      <w:r>
        <w:rPr>
          <w:rFonts w:hint="default"/>
          <w:b w:val="0"/>
          <w:bCs w:val="0"/>
          <w:color w:val="auto"/>
          <w:lang w:val="en-US" w:eastAsia="zh-CN"/>
        </w:rPr>
        <w:t>3</w:t>
      </w:r>
      <w:r>
        <w:rPr>
          <w:rFonts w:hint="eastAsia"/>
          <w:b w:val="0"/>
          <w:bCs w:val="0"/>
          <w:color w:val="auto"/>
          <w:lang w:val="en-US" w:eastAsia="zh-CN"/>
        </w:rPr>
        <w:t>）</w:t>
      </w:r>
      <w:r>
        <w:rPr>
          <w:rFonts w:hint="default"/>
          <w:b w:val="0"/>
          <w:bCs w:val="0"/>
          <w:color w:val="auto"/>
          <w:lang w:val="en-US" w:eastAsia="zh-CN"/>
        </w:rPr>
        <w:t>现场测定法：通过与项目相关人员沟通</w:t>
      </w:r>
      <w:r>
        <w:rPr>
          <w:rFonts w:hint="eastAsia"/>
          <w:b w:val="0"/>
          <w:bCs w:val="0"/>
          <w:color w:val="auto"/>
          <w:lang w:val="en-US" w:eastAsia="zh-CN"/>
        </w:rPr>
        <w:t>及</w:t>
      </w:r>
      <w:r>
        <w:rPr>
          <w:rFonts w:hint="default"/>
          <w:b w:val="0"/>
          <w:bCs w:val="0"/>
          <w:color w:val="auto"/>
          <w:lang w:val="en-US" w:eastAsia="zh-CN"/>
        </w:rPr>
        <w:t>交谈，了解项目实施情况、组织管理情况、资金安排情况等。以充分了解项目管理过程中存在的问题及难点。</w:t>
      </w:r>
      <w:bookmarkEnd w:id="80"/>
      <w:bookmarkEnd w:id="81"/>
      <w:bookmarkEnd w:id="82"/>
      <w:bookmarkEnd w:id="83"/>
    </w:p>
    <w:p>
      <w:pPr>
        <w:pStyle w:val="19"/>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b w:val="0"/>
          <w:bCs w:val="0"/>
          <w:color w:val="auto"/>
          <w:lang w:val="en-US" w:eastAsia="zh-CN"/>
        </w:rPr>
      </w:pPr>
      <w:bookmarkStart w:id="84" w:name="_Toc8694"/>
      <w:bookmarkStart w:id="85" w:name="_Toc24795"/>
      <w:bookmarkStart w:id="86" w:name="_Toc4927"/>
      <w:bookmarkStart w:id="87" w:name="_Toc25052"/>
      <w:r>
        <w:rPr>
          <w:rFonts w:hint="default"/>
          <w:b w:val="0"/>
          <w:bCs w:val="0"/>
          <w:color w:val="auto"/>
          <w:lang w:val="en-US" w:eastAsia="zh-CN"/>
        </w:rPr>
        <w:t>4</w:t>
      </w:r>
      <w:r>
        <w:rPr>
          <w:rFonts w:hint="eastAsia"/>
          <w:b w:val="0"/>
          <w:bCs w:val="0"/>
          <w:color w:val="auto"/>
          <w:lang w:val="en-US" w:eastAsia="zh-CN"/>
        </w:rPr>
        <w:t>）</w:t>
      </w:r>
      <w:r>
        <w:rPr>
          <w:rFonts w:hint="default"/>
          <w:b w:val="0"/>
          <w:bCs w:val="0"/>
          <w:color w:val="auto"/>
          <w:lang w:val="en-US" w:eastAsia="zh-CN"/>
        </w:rPr>
        <w:t>查账核实法：通过查账核实，了解项目资金实际开支情况，包括是否专款专用、是否按标准支出。检查实施单位专项资金凭证及账册，核实项目资金拨付时间、金额、支出时间、内容、范围和标准等，核实各项支出是否按照资金管理办法的范围和标准执行，是否存在超范围列支的情况。</w:t>
      </w:r>
      <w:bookmarkEnd w:id="84"/>
      <w:bookmarkEnd w:id="85"/>
      <w:bookmarkEnd w:id="86"/>
      <w:bookmarkEnd w:id="87"/>
    </w:p>
    <w:p>
      <w:pPr>
        <w:pStyle w:val="19"/>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b w:val="0"/>
          <w:bCs w:val="0"/>
          <w:color w:val="auto"/>
          <w:lang w:val="en-US" w:eastAsia="zh-CN"/>
        </w:rPr>
      </w:pPr>
      <w:bookmarkStart w:id="88" w:name="_Toc4555"/>
      <w:bookmarkStart w:id="89" w:name="_Toc498"/>
      <w:bookmarkStart w:id="90" w:name="_Toc4589"/>
      <w:bookmarkStart w:id="91" w:name="_Toc31557"/>
      <w:r>
        <w:rPr>
          <w:rFonts w:hint="default"/>
          <w:b w:val="0"/>
          <w:bCs w:val="0"/>
          <w:color w:val="auto"/>
          <w:lang w:val="en-US" w:eastAsia="zh-CN"/>
        </w:rPr>
        <w:t>5</w:t>
      </w:r>
      <w:r>
        <w:rPr>
          <w:rFonts w:hint="eastAsia"/>
          <w:b w:val="0"/>
          <w:bCs w:val="0"/>
          <w:color w:val="auto"/>
          <w:lang w:val="en-US" w:eastAsia="zh-CN"/>
        </w:rPr>
        <w:t>）</w:t>
      </w:r>
      <w:r>
        <w:rPr>
          <w:rFonts w:hint="default"/>
          <w:b w:val="0"/>
          <w:bCs w:val="0"/>
          <w:color w:val="auto"/>
          <w:lang w:val="en-US" w:eastAsia="zh-CN"/>
        </w:rPr>
        <w:t>目标比较法。指通过对财政支出产生的实际效果与预定目标的比较，分析完成目标或未完成目标的原因。</w:t>
      </w:r>
      <w:bookmarkEnd w:id="88"/>
      <w:bookmarkEnd w:id="89"/>
      <w:bookmarkEnd w:id="90"/>
      <w:bookmarkEnd w:id="91"/>
    </w:p>
    <w:p>
      <w:pPr>
        <w:pStyle w:val="19"/>
        <w:numPr>
          <w:ilvl w:val="0"/>
          <w:numId w:val="6"/>
        </w:numPr>
        <w:ind w:firstLine="562"/>
        <w:rPr>
          <w:rFonts w:hint="default"/>
          <w:b w:val="0"/>
          <w:bCs w:val="0"/>
          <w:color w:val="auto"/>
          <w:lang w:val="en-US" w:eastAsia="zh-CN"/>
        </w:rPr>
      </w:pPr>
      <w:bookmarkStart w:id="92" w:name="_Toc18644"/>
      <w:bookmarkStart w:id="93" w:name="_Toc19934"/>
      <w:bookmarkStart w:id="94" w:name="_Toc22625"/>
      <w:bookmarkStart w:id="95" w:name="_Toc25566"/>
      <w:r>
        <w:rPr>
          <w:rFonts w:hint="default"/>
          <w:b w:val="0"/>
          <w:bCs w:val="0"/>
          <w:color w:val="auto"/>
          <w:lang w:val="en-US" w:eastAsia="zh-CN"/>
        </w:rPr>
        <w:t>评价标准</w:t>
      </w:r>
      <w:bookmarkEnd w:id="92"/>
      <w:bookmarkEnd w:id="93"/>
      <w:bookmarkEnd w:id="94"/>
      <w:bookmarkEnd w:id="95"/>
    </w:p>
    <w:p>
      <w:pPr>
        <w:pStyle w:val="19"/>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b w:val="0"/>
          <w:bCs w:val="0"/>
          <w:color w:val="auto"/>
          <w:lang w:val="en-US" w:eastAsia="zh-CN"/>
        </w:rPr>
      </w:pPr>
      <w:bookmarkStart w:id="96" w:name="_Toc369"/>
      <w:bookmarkStart w:id="97" w:name="_Toc20747"/>
      <w:bookmarkStart w:id="98" w:name="_Toc12216"/>
      <w:bookmarkStart w:id="99" w:name="_Toc3416"/>
      <w:r>
        <w:rPr>
          <w:rFonts w:hint="default"/>
          <w:b w:val="0"/>
          <w:bCs w:val="0"/>
          <w:color w:val="auto"/>
          <w:lang w:val="en-US" w:eastAsia="zh-CN"/>
        </w:rPr>
        <w:t>绩效评价标准通常包括计划标准、行业标准、历史标准等，用于对绩效指标完成情况进行比较。</w:t>
      </w:r>
      <w:r>
        <w:rPr>
          <w:rFonts w:hint="eastAsia"/>
          <w:b w:val="0"/>
          <w:bCs w:val="0"/>
          <w:color w:val="auto"/>
          <w:lang w:val="en-US" w:eastAsia="zh-CN"/>
        </w:rPr>
        <w:t>根据本项目自身特点及甘肃省预算绩效实施现状，本项目采用计划标准及历史标准来衡量。</w:t>
      </w:r>
      <w:bookmarkEnd w:id="96"/>
      <w:bookmarkEnd w:id="97"/>
      <w:bookmarkEnd w:id="98"/>
      <w:bookmarkEnd w:id="99"/>
    </w:p>
    <w:p>
      <w:pPr>
        <w:pStyle w:val="19"/>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b w:val="0"/>
          <w:bCs w:val="0"/>
          <w:color w:val="auto"/>
          <w:lang w:val="en-US" w:eastAsia="zh-CN"/>
        </w:rPr>
      </w:pPr>
      <w:bookmarkStart w:id="100" w:name="_Toc1100"/>
      <w:bookmarkStart w:id="101" w:name="_Toc17029"/>
      <w:bookmarkStart w:id="102" w:name="_Toc19267"/>
      <w:bookmarkStart w:id="103" w:name="_Toc17040"/>
      <w:r>
        <w:rPr>
          <w:rFonts w:hint="eastAsia"/>
          <w:b w:val="0"/>
          <w:bCs w:val="0"/>
          <w:color w:val="auto"/>
          <w:lang w:val="en-US" w:eastAsia="zh-CN"/>
        </w:rPr>
        <w:t>1</w:t>
      </w:r>
      <w:r>
        <w:rPr>
          <w:rFonts w:hint="default"/>
          <w:b w:val="0"/>
          <w:bCs w:val="0"/>
          <w:color w:val="auto"/>
          <w:lang w:val="en-US" w:eastAsia="zh-CN"/>
        </w:rPr>
        <w:t>）计划标准。指以预先制定的目标、计划、预算、定额等作为评价标准。</w:t>
      </w:r>
      <w:bookmarkEnd w:id="100"/>
      <w:bookmarkEnd w:id="101"/>
      <w:bookmarkEnd w:id="102"/>
      <w:bookmarkEnd w:id="103"/>
    </w:p>
    <w:p>
      <w:pPr>
        <w:pStyle w:val="19"/>
        <w:keepNext/>
        <w:keepLines/>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default"/>
          <w:b w:val="0"/>
          <w:bCs w:val="0"/>
          <w:color w:val="auto"/>
          <w:lang w:val="en-US" w:eastAsia="zh-CN"/>
        </w:rPr>
      </w:pPr>
      <w:bookmarkStart w:id="104" w:name="_Toc10835"/>
      <w:bookmarkStart w:id="105" w:name="_Toc27425"/>
      <w:bookmarkStart w:id="106" w:name="_Toc29260"/>
      <w:bookmarkStart w:id="107" w:name="_Toc13477"/>
      <w:r>
        <w:rPr>
          <w:rFonts w:hint="eastAsia"/>
          <w:b w:val="0"/>
          <w:bCs w:val="0"/>
          <w:color w:val="auto"/>
          <w:lang w:val="en-US" w:eastAsia="zh-CN"/>
        </w:rPr>
        <w:t>2</w:t>
      </w:r>
      <w:r>
        <w:rPr>
          <w:rFonts w:hint="default"/>
          <w:b w:val="0"/>
          <w:bCs w:val="0"/>
          <w:color w:val="auto"/>
          <w:lang w:val="en-US" w:eastAsia="zh-CN"/>
        </w:rPr>
        <w:t>）历史标准。指参照历史数据制定的评价标准，为体现绩效改进的原则，在可实现的条件下应当确定相对较高的评价标准。</w:t>
      </w:r>
      <w:bookmarkEnd w:id="104"/>
      <w:bookmarkEnd w:id="105"/>
      <w:bookmarkEnd w:id="106"/>
      <w:bookmarkEnd w:id="107"/>
    </w:p>
    <w:p>
      <w:pPr>
        <w:ind w:firstLine="281" w:firstLineChars="100"/>
        <w:jc w:val="both"/>
        <w:outlineLvl w:val="1"/>
        <w:rPr>
          <w:rFonts w:hint="default" w:ascii="Times New Roman" w:hAnsi="Times New Roman" w:eastAsia="仿宋_GB2312" w:cs="Times New Roman"/>
          <w:b/>
          <w:bCs/>
          <w:color w:val="auto"/>
          <w:kern w:val="0"/>
          <w:sz w:val="28"/>
          <w:szCs w:val="28"/>
          <w:lang w:val="en-US" w:eastAsia="zh-CN"/>
        </w:rPr>
      </w:pPr>
      <w:bookmarkStart w:id="108" w:name="_Toc8708"/>
      <w:bookmarkStart w:id="109" w:name="_Toc13981"/>
      <w:bookmarkStart w:id="110" w:name="_Toc16124"/>
      <w:bookmarkStart w:id="111" w:name="_Toc20768"/>
      <w:r>
        <w:rPr>
          <w:rFonts w:hint="default" w:ascii="Times New Roman" w:hAnsi="Times New Roman" w:eastAsia="仿宋_GB2312" w:cs="Times New Roman"/>
          <w:b/>
          <w:bCs/>
          <w:color w:val="auto"/>
          <w:kern w:val="0"/>
          <w:sz w:val="28"/>
          <w:szCs w:val="28"/>
          <w:lang w:val="en-US" w:eastAsia="zh-CN"/>
        </w:rPr>
        <w:t>（三）绩效评价工作过程。</w:t>
      </w:r>
      <w:bookmarkEnd w:id="108"/>
      <w:bookmarkEnd w:id="109"/>
      <w:bookmarkEnd w:id="110"/>
      <w:bookmarkEnd w:id="111"/>
    </w:p>
    <w:p>
      <w:pPr>
        <w:keepNext/>
        <w:keepLines/>
        <w:spacing w:line="500" w:lineRule="exact"/>
        <w:ind w:firstLine="560" w:firstLineChars="200"/>
        <w:jc w:val="left"/>
        <w:outlineLvl w:val="2"/>
        <w:rPr>
          <w:rFonts w:eastAsia="仿宋_GB2312"/>
          <w:b w:val="0"/>
          <w:bCs w:val="0"/>
          <w:color w:val="auto"/>
          <w:sz w:val="28"/>
          <w:szCs w:val="32"/>
        </w:rPr>
      </w:pPr>
      <w:bookmarkStart w:id="112" w:name="_Toc10409"/>
      <w:bookmarkStart w:id="113" w:name="_Toc425497332"/>
      <w:bookmarkStart w:id="114" w:name="_Toc422410863"/>
      <w:bookmarkStart w:id="115" w:name="_Toc422410652"/>
      <w:bookmarkStart w:id="116" w:name="_Toc422410935"/>
      <w:bookmarkStart w:id="117" w:name="_Toc9585"/>
      <w:bookmarkStart w:id="118" w:name="_Toc482709314"/>
      <w:bookmarkStart w:id="119" w:name="_Toc455064765"/>
      <w:bookmarkStart w:id="120" w:name="_Toc482709403"/>
      <w:bookmarkStart w:id="121" w:name="_Toc31057"/>
      <w:r>
        <w:rPr>
          <w:rFonts w:hint="eastAsia" w:eastAsia="仿宋_GB2312"/>
          <w:b w:val="0"/>
          <w:bCs w:val="0"/>
          <w:color w:val="auto"/>
          <w:sz w:val="28"/>
          <w:szCs w:val="32"/>
          <w:lang w:val="en-US" w:eastAsia="zh-CN"/>
        </w:rPr>
        <w:t>1、</w:t>
      </w:r>
      <w:r>
        <w:rPr>
          <w:rFonts w:eastAsia="仿宋_GB2312"/>
          <w:b w:val="0"/>
          <w:bCs w:val="0"/>
          <w:color w:val="auto"/>
          <w:sz w:val="28"/>
          <w:szCs w:val="32"/>
        </w:rPr>
        <w:t>人员分工</w:t>
      </w:r>
      <w:bookmarkEnd w:id="112"/>
      <w:bookmarkEnd w:id="113"/>
      <w:bookmarkEnd w:id="114"/>
      <w:bookmarkEnd w:id="115"/>
      <w:bookmarkEnd w:id="116"/>
      <w:bookmarkEnd w:id="117"/>
      <w:bookmarkEnd w:id="118"/>
      <w:bookmarkEnd w:id="119"/>
      <w:bookmarkEnd w:id="120"/>
      <w:bookmarkEnd w:id="121"/>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kern w:val="0"/>
          <w:sz w:val="28"/>
          <w:szCs w:val="28"/>
        </w:rPr>
      </w:pPr>
      <w:bookmarkStart w:id="122" w:name="_Toc422410864"/>
      <w:bookmarkStart w:id="123" w:name="_Toc455064766"/>
      <w:bookmarkStart w:id="124" w:name="_Toc425497333"/>
      <w:bookmarkStart w:id="125" w:name="_Toc422410936"/>
      <w:bookmarkStart w:id="126" w:name="_Toc482709404"/>
      <w:bookmarkStart w:id="127" w:name="_Toc422410653"/>
      <w:bookmarkStart w:id="128" w:name="_Toc482709315"/>
      <w:bookmarkStart w:id="129" w:name="_Toc3037"/>
      <w:r>
        <w:rPr>
          <w:rFonts w:hint="eastAsia" w:eastAsia="仿宋_GB2312"/>
          <w:color w:val="auto"/>
          <w:kern w:val="0"/>
          <w:sz w:val="28"/>
          <w:szCs w:val="28"/>
          <w:lang w:val="en-US" w:eastAsia="zh-CN"/>
        </w:rPr>
        <w:t>1）</w:t>
      </w:r>
      <w:r>
        <w:rPr>
          <w:rFonts w:hint="eastAsia" w:eastAsia="仿宋_GB2312"/>
          <w:color w:val="auto"/>
          <w:kern w:val="0"/>
          <w:sz w:val="28"/>
          <w:szCs w:val="28"/>
        </w:rPr>
        <w:t>本次财政支出预算绩效管理项目的组织者为甘肃省</w:t>
      </w:r>
      <w:r>
        <w:rPr>
          <w:rFonts w:hint="eastAsia" w:eastAsia="仿宋_GB2312"/>
          <w:color w:val="auto"/>
          <w:kern w:val="0"/>
          <w:sz w:val="28"/>
          <w:szCs w:val="28"/>
          <w:lang w:val="en-US" w:eastAsia="zh-CN"/>
        </w:rPr>
        <w:t>人民代表大会常务委员会</w:t>
      </w:r>
      <w:r>
        <w:rPr>
          <w:rFonts w:hint="eastAsia" w:eastAsia="仿宋_GB2312"/>
          <w:color w:val="auto"/>
          <w:kern w:val="0"/>
          <w:sz w:val="28"/>
          <w:szCs w:val="28"/>
        </w:rPr>
        <w:t>，受托方为甘肃中软信通信息技术有限公司。甘肃中软信通信息技术有限公司负责完成评价工作，包括前期调查，制定工作方案，调查取数，撰写评价报告。</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lang w:val="en-US" w:eastAsia="zh-CN"/>
        </w:rPr>
        <w:t>2）</w:t>
      </w:r>
      <w:r>
        <w:rPr>
          <w:rFonts w:hint="eastAsia" w:eastAsia="仿宋_GB2312"/>
          <w:color w:val="auto"/>
          <w:kern w:val="0"/>
          <w:sz w:val="28"/>
          <w:szCs w:val="28"/>
        </w:rPr>
        <w:t xml:space="preserve"> 项目顾问 严总飞 对本项目提供咨询顾问支持；总体负责本项目的策划和监督</w:t>
      </w:r>
      <w:r>
        <w:rPr>
          <w:rFonts w:hint="eastAsia" w:eastAsia="仿宋_GB2312"/>
          <w:color w:val="auto"/>
          <w:kern w:val="0"/>
          <w:sz w:val="28"/>
          <w:szCs w:val="28"/>
          <w:lang w:eastAsia="zh-CN"/>
        </w:rPr>
        <w:t>；</w:t>
      </w:r>
      <w:r>
        <w:rPr>
          <w:rFonts w:hint="eastAsia" w:eastAsia="仿宋_GB2312"/>
          <w:color w:val="auto"/>
          <w:kern w:val="0"/>
          <w:sz w:val="28"/>
          <w:szCs w:val="28"/>
        </w:rPr>
        <w:t xml:space="preserve"> </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lang w:val="en-US" w:eastAsia="zh-CN"/>
        </w:rPr>
        <w:t>3</w:t>
      </w:r>
      <w:r>
        <w:rPr>
          <w:rFonts w:hint="eastAsia" w:eastAsia="仿宋_GB2312"/>
          <w:color w:val="auto"/>
          <w:kern w:val="0"/>
          <w:sz w:val="28"/>
          <w:szCs w:val="28"/>
          <w:lang w:eastAsia="zh-CN"/>
        </w:rPr>
        <w:t>）</w:t>
      </w:r>
      <w:r>
        <w:rPr>
          <w:rFonts w:hint="eastAsia" w:eastAsia="仿宋_GB2312"/>
          <w:color w:val="auto"/>
          <w:kern w:val="0"/>
          <w:sz w:val="28"/>
          <w:szCs w:val="28"/>
        </w:rPr>
        <w:t>项目总监 段继波 负责项目中指标体系、工作方案、绩效报告等重点工作内容的审核；主要负责项目整体统筹，项目进度和人员的管理，项目开展过程中与委托方、被评单位及其他相关单位的沟通协调等</w:t>
      </w:r>
      <w:r>
        <w:rPr>
          <w:rFonts w:hint="eastAsia" w:eastAsia="仿宋_GB2312"/>
          <w:color w:val="auto"/>
          <w:kern w:val="0"/>
          <w:sz w:val="28"/>
          <w:szCs w:val="28"/>
          <w:lang w:eastAsia="zh-CN"/>
        </w:rPr>
        <w:t>；</w:t>
      </w:r>
      <w:r>
        <w:rPr>
          <w:rFonts w:hint="eastAsia" w:eastAsia="仿宋_GB2312"/>
          <w:color w:val="auto"/>
          <w:kern w:val="0"/>
          <w:sz w:val="28"/>
          <w:szCs w:val="28"/>
        </w:rPr>
        <w:t xml:space="preserve"> </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lang w:val="en-US" w:eastAsia="zh-CN"/>
        </w:rPr>
        <w:t>4）</w:t>
      </w:r>
      <w:r>
        <w:rPr>
          <w:rFonts w:hint="eastAsia" w:eastAsia="仿宋_GB2312"/>
          <w:color w:val="auto"/>
          <w:kern w:val="0"/>
          <w:sz w:val="28"/>
          <w:szCs w:val="28"/>
        </w:rPr>
        <w:t xml:space="preserve"> 质控组组长 殷雪峰 负责对负责项目中指标体系、工作方案、绩效报告等重点工作内容的最终审核</w:t>
      </w:r>
      <w:r>
        <w:rPr>
          <w:rFonts w:hint="eastAsia" w:eastAsia="仿宋_GB2312"/>
          <w:color w:val="auto"/>
          <w:kern w:val="0"/>
          <w:sz w:val="28"/>
          <w:szCs w:val="28"/>
          <w:lang w:eastAsia="zh-CN"/>
        </w:rPr>
        <w:t>；</w:t>
      </w:r>
      <w:r>
        <w:rPr>
          <w:rFonts w:hint="eastAsia" w:eastAsia="仿宋_GB2312"/>
          <w:color w:val="auto"/>
          <w:kern w:val="0"/>
          <w:sz w:val="28"/>
          <w:szCs w:val="28"/>
        </w:rPr>
        <w:t xml:space="preserve"> </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lang w:val="en-US" w:eastAsia="zh-CN"/>
        </w:rPr>
        <w:t>5）</w:t>
      </w:r>
      <w:r>
        <w:rPr>
          <w:rFonts w:hint="eastAsia" w:eastAsia="仿宋_GB2312"/>
          <w:color w:val="auto"/>
          <w:kern w:val="0"/>
          <w:sz w:val="28"/>
          <w:szCs w:val="28"/>
        </w:rPr>
        <w:t xml:space="preserve"> 质控组组员 陈振华 负责对负责项目中指标体系、工作方案、绩效报告等重点工作内容的初步审核</w:t>
      </w:r>
      <w:r>
        <w:rPr>
          <w:rFonts w:hint="eastAsia" w:eastAsia="仿宋_GB2312"/>
          <w:color w:val="auto"/>
          <w:kern w:val="0"/>
          <w:sz w:val="28"/>
          <w:szCs w:val="28"/>
          <w:lang w:eastAsia="zh-CN"/>
        </w:rPr>
        <w:t>；</w:t>
      </w:r>
      <w:r>
        <w:rPr>
          <w:rFonts w:hint="eastAsia" w:eastAsia="仿宋_GB2312"/>
          <w:color w:val="auto"/>
          <w:kern w:val="0"/>
          <w:sz w:val="28"/>
          <w:szCs w:val="28"/>
        </w:rPr>
        <w:t xml:space="preserve"> </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lang w:val="en-US" w:eastAsia="zh-CN"/>
        </w:rPr>
        <w:t>6）</w:t>
      </w:r>
      <w:r>
        <w:rPr>
          <w:rFonts w:hint="eastAsia" w:eastAsia="仿宋_GB2312"/>
          <w:color w:val="auto"/>
          <w:kern w:val="0"/>
          <w:sz w:val="28"/>
          <w:szCs w:val="28"/>
        </w:rPr>
        <w:t xml:space="preserve"> 执行组长 吕楠 主要负责项目方案的制定、指标研制、数据分析和报告撰写</w:t>
      </w:r>
      <w:r>
        <w:rPr>
          <w:rFonts w:hint="eastAsia" w:eastAsia="仿宋_GB2312"/>
          <w:color w:val="auto"/>
          <w:kern w:val="0"/>
          <w:sz w:val="28"/>
          <w:szCs w:val="28"/>
          <w:lang w:eastAsia="zh-CN"/>
        </w:rPr>
        <w:t>；</w:t>
      </w:r>
      <w:r>
        <w:rPr>
          <w:rFonts w:hint="eastAsia" w:eastAsia="仿宋_GB2312"/>
          <w:color w:val="auto"/>
          <w:kern w:val="0"/>
          <w:sz w:val="28"/>
          <w:szCs w:val="28"/>
        </w:rPr>
        <w:t xml:space="preserve"> </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kern w:val="0"/>
          <w:sz w:val="28"/>
          <w:szCs w:val="28"/>
        </w:rPr>
      </w:pPr>
      <w:r>
        <w:rPr>
          <w:rFonts w:hint="eastAsia" w:eastAsia="仿宋_GB2312"/>
          <w:color w:val="auto"/>
          <w:kern w:val="0"/>
          <w:sz w:val="28"/>
          <w:szCs w:val="28"/>
          <w:lang w:val="en-US" w:eastAsia="zh-CN"/>
        </w:rPr>
        <w:t>7）</w:t>
      </w:r>
      <w:r>
        <w:rPr>
          <w:rFonts w:hint="eastAsia" w:eastAsia="仿宋_GB2312"/>
          <w:color w:val="auto"/>
          <w:kern w:val="0"/>
          <w:sz w:val="28"/>
          <w:szCs w:val="28"/>
        </w:rPr>
        <w:t xml:space="preserve"> 执行组长 石建锋 协助与项目单位进行项目沟通、相关数据分析、实地调研及报告撰写</w:t>
      </w:r>
      <w:r>
        <w:rPr>
          <w:rFonts w:hint="eastAsia" w:eastAsia="仿宋_GB2312"/>
          <w:color w:val="auto"/>
          <w:kern w:val="0"/>
          <w:sz w:val="28"/>
          <w:szCs w:val="28"/>
          <w:lang w:eastAsia="zh-CN"/>
        </w:rPr>
        <w:t>；</w:t>
      </w:r>
      <w:r>
        <w:rPr>
          <w:rFonts w:hint="eastAsia" w:eastAsia="仿宋_GB2312"/>
          <w:color w:val="auto"/>
          <w:kern w:val="0"/>
          <w:sz w:val="28"/>
          <w:szCs w:val="28"/>
        </w:rPr>
        <w:t xml:space="preserve"> </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FF0000"/>
          <w:kern w:val="0"/>
          <w:sz w:val="28"/>
          <w:szCs w:val="28"/>
        </w:rPr>
      </w:pPr>
      <w:r>
        <w:rPr>
          <w:rFonts w:hint="eastAsia" w:eastAsia="仿宋_GB2312"/>
          <w:color w:val="auto"/>
          <w:kern w:val="0"/>
          <w:sz w:val="28"/>
          <w:szCs w:val="28"/>
          <w:lang w:val="en-US" w:eastAsia="zh-CN"/>
        </w:rPr>
        <w:t>8）</w:t>
      </w:r>
      <w:r>
        <w:rPr>
          <w:rFonts w:hint="eastAsia" w:eastAsia="仿宋_GB2312"/>
          <w:color w:val="auto"/>
          <w:kern w:val="0"/>
          <w:sz w:val="28"/>
          <w:szCs w:val="28"/>
        </w:rPr>
        <w:t xml:space="preserve"> 执行组员 邓玉秀 协助与项目单位进行项目沟通、相关数据分析、实地调研及报告撰写</w:t>
      </w:r>
      <w:r>
        <w:rPr>
          <w:rFonts w:hint="eastAsia" w:eastAsia="仿宋_GB2312"/>
          <w:color w:val="auto"/>
          <w:kern w:val="0"/>
          <w:sz w:val="28"/>
          <w:szCs w:val="28"/>
          <w:lang w:eastAsia="zh-CN"/>
        </w:rPr>
        <w:t>；</w:t>
      </w:r>
      <w:r>
        <w:rPr>
          <w:rFonts w:hint="eastAsia" w:eastAsia="仿宋_GB2312"/>
          <w:color w:val="auto"/>
          <w:kern w:val="0"/>
          <w:sz w:val="28"/>
          <w:szCs w:val="28"/>
        </w:rPr>
        <w:t xml:space="preserve"> </w:t>
      </w:r>
    </w:p>
    <w:p>
      <w:pPr>
        <w:keepNext/>
        <w:keepLines/>
        <w:pageBreakBefore w:val="0"/>
        <w:widowControl w:val="0"/>
        <w:kinsoku/>
        <w:wordWrap/>
        <w:overflowPunct/>
        <w:topLinePunct w:val="0"/>
        <w:autoSpaceDE/>
        <w:autoSpaceDN/>
        <w:bidi w:val="0"/>
        <w:adjustRightInd/>
        <w:snapToGrid/>
        <w:spacing w:line="240" w:lineRule="auto"/>
        <w:ind w:firstLine="560" w:firstLineChars="200"/>
        <w:jc w:val="left"/>
        <w:textAlignment w:val="auto"/>
        <w:outlineLvl w:val="2"/>
        <w:rPr>
          <w:rFonts w:eastAsia="仿宋_GB2312"/>
          <w:b w:val="0"/>
          <w:bCs w:val="0"/>
          <w:color w:val="auto"/>
          <w:sz w:val="28"/>
          <w:szCs w:val="32"/>
        </w:rPr>
      </w:pPr>
      <w:bookmarkStart w:id="130" w:name="_Toc20551"/>
      <w:bookmarkStart w:id="131" w:name="_Toc10171"/>
      <w:r>
        <w:rPr>
          <w:rFonts w:hint="eastAsia" w:eastAsia="仿宋_GB2312"/>
          <w:b w:val="0"/>
          <w:bCs w:val="0"/>
          <w:color w:val="auto"/>
          <w:sz w:val="28"/>
          <w:szCs w:val="32"/>
          <w:lang w:val="en-US" w:eastAsia="zh-CN"/>
        </w:rPr>
        <w:t>2、</w:t>
      </w:r>
      <w:r>
        <w:rPr>
          <w:rFonts w:eastAsia="仿宋_GB2312"/>
          <w:b w:val="0"/>
          <w:bCs w:val="0"/>
          <w:color w:val="auto"/>
          <w:sz w:val="28"/>
          <w:szCs w:val="32"/>
        </w:rPr>
        <w:t>工作进程安排</w:t>
      </w:r>
      <w:bookmarkEnd w:id="122"/>
      <w:bookmarkEnd w:id="123"/>
      <w:bookmarkEnd w:id="124"/>
      <w:bookmarkEnd w:id="125"/>
      <w:bookmarkEnd w:id="126"/>
      <w:bookmarkEnd w:id="127"/>
      <w:bookmarkEnd w:id="128"/>
      <w:bookmarkEnd w:id="129"/>
      <w:bookmarkEnd w:id="130"/>
      <w:bookmarkEnd w:id="131"/>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eastAsia="仿宋_GB2312"/>
          <w:color w:val="auto"/>
          <w:kern w:val="0"/>
          <w:sz w:val="28"/>
          <w:szCs w:val="28"/>
        </w:rPr>
      </w:pPr>
      <w:r>
        <w:rPr>
          <w:rFonts w:hint="eastAsia" w:eastAsia="仿宋_GB2312"/>
          <w:b w:val="0"/>
          <w:bCs w:val="0"/>
          <w:color w:val="auto"/>
          <w:kern w:val="0"/>
          <w:sz w:val="28"/>
          <w:szCs w:val="28"/>
        </w:rPr>
        <w:t>1</w:t>
      </w:r>
      <w:r>
        <w:rPr>
          <w:rFonts w:hint="eastAsia" w:eastAsia="仿宋_GB2312"/>
          <w:b w:val="0"/>
          <w:bCs w:val="0"/>
          <w:color w:val="auto"/>
          <w:kern w:val="0"/>
          <w:sz w:val="28"/>
          <w:szCs w:val="28"/>
          <w:lang w:eastAsia="zh-CN"/>
        </w:rPr>
        <w:t>）</w:t>
      </w:r>
      <w:r>
        <w:rPr>
          <w:rFonts w:hint="eastAsia" w:eastAsia="仿宋_GB2312"/>
          <w:b w:val="0"/>
          <w:bCs w:val="0"/>
          <w:color w:val="auto"/>
          <w:kern w:val="0"/>
          <w:sz w:val="28"/>
          <w:szCs w:val="28"/>
        </w:rPr>
        <w:t>前期准备</w:t>
      </w:r>
      <w:r>
        <w:rPr>
          <w:rFonts w:eastAsia="仿宋_GB2312"/>
          <w:b w:val="0"/>
          <w:bCs w:val="0"/>
          <w:color w:val="auto"/>
          <w:kern w:val="0"/>
          <w:sz w:val="28"/>
          <w:szCs w:val="28"/>
        </w:rPr>
        <w:t>（20</w:t>
      </w:r>
      <w:r>
        <w:rPr>
          <w:rFonts w:hint="eastAsia" w:eastAsia="仿宋_GB2312"/>
          <w:b w:val="0"/>
          <w:bCs w:val="0"/>
          <w:color w:val="auto"/>
          <w:kern w:val="0"/>
          <w:sz w:val="28"/>
          <w:szCs w:val="28"/>
          <w:lang w:eastAsia="zh-CN"/>
        </w:rPr>
        <w:t>2</w:t>
      </w:r>
      <w:r>
        <w:rPr>
          <w:rFonts w:hint="eastAsia" w:eastAsia="仿宋_GB2312"/>
          <w:b w:val="0"/>
          <w:bCs w:val="0"/>
          <w:color w:val="auto"/>
          <w:kern w:val="0"/>
          <w:sz w:val="28"/>
          <w:szCs w:val="28"/>
          <w:lang w:val="en-US" w:eastAsia="zh-CN"/>
        </w:rPr>
        <w:t>0</w:t>
      </w:r>
      <w:r>
        <w:rPr>
          <w:rFonts w:eastAsia="仿宋_GB2312"/>
          <w:b w:val="0"/>
          <w:bCs w:val="0"/>
          <w:color w:val="auto"/>
          <w:kern w:val="0"/>
          <w:sz w:val="28"/>
          <w:szCs w:val="28"/>
        </w:rPr>
        <w:t>年</w:t>
      </w:r>
      <w:r>
        <w:rPr>
          <w:rFonts w:hint="eastAsia" w:eastAsia="仿宋_GB2312"/>
          <w:b w:val="0"/>
          <w:bCs w:val="0"/>
          <w:color w:val="auto"/>
          <w:kern w:val="0"/>
          <w:sz w:val="28"/>
          <w:szCs w:val="28"/>
          <w:lang w:eastAsia="zh-CN"/>
        </w:rPr>
        <w:t>5</w:t>
      </w:r>
      <w:r>
        <w:rPr>
          <w:rFonts w:eastAsia="仿宋_GB2312"/>
          <w:b w:val="0"/>
          <w:bCs w:val="0"/>
          <w:color w:val="auto"/>
          <w:kern w:val="0"/>
          <w:sz w:val="28"/>
          <w:szCs w:val="28"/>
        </w:rPr>
        <w:t>月</w:t>
      </w:r>
      <w:r>
        <w:rPr>
          <w:rFonts w:hint="eastAsia" w:eastAsia="仿宋_GB2312"/>
          <w:b w:val="0"/>
          <w:bCs w:val="0"/>
          <w:color w:val="auto"/>
          <w:kern w:val="0"/>
          <w:sz w:val="28"/>
          <w:szCs w:val="28"/>
          <w:lang w:eastAsia="zh-CN"/>
        </w:rPr>
        <w:t>1</w:t>
      </w:r>
      <w:r>
        <w:rPr>
          <w:rFonts w:hint="eastAsia" w:eastAsia="仿宋_GB2312"/>
          <w:b w:val="0"/>
          <w:bCs w:val="0"/>
          <w:color w:val="auto"/>
          <w:kern w:val="0"/>
          <w:sz w:val="28"/>
          <w:szCs w:val="28"/>
          <w:lang w:val="en-US" w:eastAsia="zh-CN"/>
        </w:rPr>
        <w:t>5</w:t>
      </w:r>
      <w:r>
        <w:rPr>
          <w:rFonts w:eastAsia="仿宋_GB2312"/>
          <w:b w:val="0"/>
          <w:bCs w:val="0"/>
          <w:color w:val="auto"/>
          <w:kern w:val="0"/>
          <w:sz w:val="28"/>
          <w:szCs w:val="28"/>
        </w:rPr>
        <w:t>日-</w:t>
      </w:r>
      <w:r>
        <w:rPr>
          <w:rFonts w:hint="eastAsia" w:eastAsia="仿宋_GB2312"/>
          <w:b w:val="0"/>
          <w:bCs w:val="0"/>
          <w:color w:val="auto"/>
          <w:kern w:val="0"/>
          <w:sz w:val="28"/>
          <w:szCs w:val="28"/>
          <w:lang w:eastAsia="zh-CN"/>
        </w:rPr>
        <w:t>5</w:t>
      </w:r>
      <w:r>
        <w:rPr>
          <w:rFonts w:eastAsia="仿宋_GB2312"/>
          <w:b w:val="0"/>
          <w:bCs w:val="0"/>
          <w:color w:val="auto"/>
          <w:kern w:val="0"/>
          <w:sz w:val="28"/>
          <w:szCs w:val="28"/>
        </w:rPr>
        <w:t>月</w:t>
      </w:r>
      <w:r>
        <w:rPr>
          <w:rFonts w:hint="eastAsia" w:eastAsia="仿宋_GB2312"/>
          <w:b w:val="0"/>
          <w:bCs w:val="0"/>
          <w:color w:val="auto"/>
          <w:kern w:val="0"/>
          <w:sz w:val="28"/>
          <w:szCs w:val="28"/>
          <w:lang w:eastAsia="zh-CN"/>
        </w:rPr>
        <w:t>2</w:t>
      </w:r>
      <w:r>
        <w:rPr>
          <w:rFonts w:hint="eastAsia" w:eastAsia="仿宋_GB2312"/>
          <w:b w:val="0"/>
          <w:bCs w:val="0"/>
          <w:color w:val="auto"/>
          <w:kern w:val="0"/>
          <w:sz w:val="28"/>
          <w:szCs w:val="28"/>
          <w:lang w:val="en-US" w:eastAsia="zh-CN"/>
        </w:rPr>
        <w:t>0</w:t>
      </w:r>
      <w:r>
        <w:rPr>
          <w:rFonts w:eastAsia="仿宋_GB2312"/>
          <w:b w:val="0"/>
          <w:bCs w:val="0"/>
          <w:color w:val="auto"/>
          <w:kern w:val="0"/>
          <w:sz w:val="28"/>
          <w:szCs w:val="28"/>
        </w:rPr>
        <w:t>日）</w:t>
      </w:r>
    </w:p>
    <w:p>
      <w:pPr>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eastAsia="仿宋_GB2312"/>
          <w:color w:val="auto"/>
          <w:kern w:val="0"/>
          <w:sz w:val="28"/>
          <w:szCs w:val="28"/>
        </w:rPr>
      </w:pPr>
      <w:r>
        <w:rPr>
          <w:rFonts w:eastAsia="仿宋_GB2312"/>
          <w:color w:val="auto"/>
          <w:kern w:val="0"/>
          <w:sz w:val="28"/>
          <w:szCs w:val="28"/>
        </w:rPr>
        <w:t>搜集</w:t>
      </w:r>
      <w:r>
        <w:rPr>
          <w:rFonts w:hint="eastAsia" w:eastAsia="仿宋_GB2312"/>
          <w:color w:val="auto"/>
          <w:kern w:val="0"/>
          <w:sz w:val="28"/>
          <w:szCs w:val="28"/>
        </w:rPr>
        <w:t>专项资金的相关</w:t>
      </w:r>
      <w:r>
        <w:rPr>
          <w:rFonts w:eastAsia="仿宋_GB2312"/>
          <w:color w:val="auto"/>
          <w:kern w:val="0"/>
          <w:sz w:val="28"/>
          <w:szCs w:val="28"/>
        </w:rPr>
        <w:t>资料，全面了解</w:t>
      </w:r>
      <w:r>
        <w:rPr>
          <w:rFonts w:hint="eastAsia" w:eastAsia="仿宋_GB2312"/>
          <w:color w:val="auto"/>
          <w:kern w:val="0"/>
          <w:sz w:val="28"/>
          <w:szCs w:val="28"/>
        </w:rPr>
        <w:t>项目</w:t>
      </w:r>
      <w:r>
        <w:rPr>
          <w:rFonts w:eastAsia="仿宋_GB2312"/>
          <w:color w:val="auto"/>
          <w:kern w:val="0"/>
          <w:sz w:val="28"/>
          <w:szCs w:val="28"/>
        </w:rPr>
        <w:t>基本情况，与相关负责人员进行交流与探讨，研发设计完整的绩效指标体系、基础表和调研与访谈方案，形成工作方案，和</w:t>
      </w:r>
      <w:r>
        <w:rPr>
          <w:rFonts w:hint="eastAsia" w:eastAsia="仿宋_GB2312"/>
          <w:color w:val="auto"/>
          <w:kern w:val="0"/>
          <w:sz w:val="28"/>
          <w:szCs w:val="28"/>
          <w:lang w:val="en-US" w:eastAsia="zh-CN"/>
        </w:rPr>
        <w:t>甘肃省人民代表大会常务委员会办公厅</w:t>
      </w:r>
      <w:r>
        <w:rPr>
          <w:rFonts w:eastAsia="仿宋_GB2312"/>
          <w:color w:val="auto"/>
          <w:kern w:val="0"/>
          <w:sz w:val="28"/>
          <w:szCs w:val="28"/>
        </w:rPr>
        <w:t>沟通确认合理可行后定稿。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eastAsia="仿宋_GB2312"/>
          <w:b w:val="0"/>
          <w:bCs w:val="0"/>
          <w:color w:val="auto"/>
          <w:kern w:val="0"/>
          <w:sz w:val="28"/>
          <w:szCs w:val="28"/>
        </w:rPr>
      </w:pPr>
      <w:r>
        <w:rPr>
          <w:rFonts w:hint="eastAsia" w:eastAsia="仿宋_GB2312"/>
          <w:b w:val="0"/>
          <w:bCs w:val="0"/>
          <w:color w:val="auto"/>
          <w:kern w:val="0"/>
          <w:sz w:val="28"/>
          <w:szCs w:val="28"/>
          <w:lang w:val="en-US" w:eastAsia="zh-CN"/>
        </w:rPr>
        <w:t>2）</w:t>
      </w:r>
      <w:r>
        <w:rPr>
          <w:rFonts w:hint="eastAsia" w:eastAsia="仿宋_GB2312"/>
          <w:b w:val="0"/>
          <w:bCs w:val="0"/>
          <w:color w:val="auto"/>
          <w:kern w:val="0"/>
          <w:sz w:val="28"/>
          <w:szCs w:val="28"/>
        </w:rPr>
        <w:t>组织实施</w:t>
      </w:r>
      <w:r>
        <w:rPr>
          <w:rFonts w:eastAsia="仿宋_GB2312"/>
          <w:b w:val="0"/>
          <w:bCs w:val="0"/>
          <w:color w:val="auto"/>
          <w:kern w:val="0"/>
          <w:sz w:val="28"/>
          <w:szCs w:val="28"/>
        </w:rPr>
        <w:t>（20</w:t>
      </w:r>
      <w:r>
        <w:rPr>
          <w:rFonts w:hint="eastAsia" w:eastAsia="仿宋_GB2312"/>
          <w:b w:val="0"/>
          <w:bCs w:val="0"/>
          <w:color w:val="auto"/>
          <w:kern w:val="0"/>
          <w:sz w:val="28"/>
          <w:szCs w:val="28"/>
          <w:lang w:eastAsia="zh-CN"/>
        </w:rPr>
        <w:t>2</w:t>
      </w:r>
      <w:r>
        <w:rPr>
          <w:rFonts w:hint="eastAsia" w:eastAsia="仿宋_GB2312"/>
          <w:b w:val="0"/>
          <w:bCs w:val="0"/>
          <w:color w:val="auto"/>
          <w:kern w:val="0"/>
          <w:sz w:val="28"/>
          <w:szCs w:val="28"/>
          <w:lang w:val="en-US" w:eastAsia="zh-CN"/>
        </w:rPr>
        <w:t>0</w:t>
      </w:r>
      <w:r>
        <w:rPr>
          <w:rFonts w:eastAsia="仿宋_GB2312"/>
          <w:b w:val="0"/>
          <w:bCs w:val="0"/>
          <w:color w:val="auto"/>
          <w:kern w:val="0"/>
          <w:sz w:val="28"/>
          <w:szCs w:val="28"/>
        </w:rPr>
        <w:t>年</w:t>
      </w:r>
      <w:r>
        <w:rPr>
          <w:rFonts w:hint="eastAsia" w:eastAsia="仿宋_GB2312"/>
          <w:b w:val="0"/>
          <w:bCs w:val="0"/>
          <w:color w:val="auto"/>
          <w:kern w:val="0"/>
          <w:sz w:val="28"/>
          <w:szCs w:val="28"/>
          <w:lang w:eastAsia="zh-CN"/>
        </w:rPr>
        <w:t>5</w:t>
      </w:r>
      <w:r>
        <w:rPr>
          <w:rFonts w:eastAsia="仿宋_GB2312"/>
          <w:b w:val="0"/>
          <w:bCs w:val="0"/>
          <w:color w:val="auto"/>
          <w:kern w:val="0"/>
          <w:sz w:val="28"/>
          <w:szCs w:val="28"/>
        </w:rPr>
        <w:t>月</w:t>
      </w:r>
      <w:r>
        <w:rPr>
          <w:rFonts w:hint="eastAsia" w:eastAsia="仿宋_GB2312"/>
          <w:b w:val="0"/>
          <w:bCs w:val="0"/>
          <w:color w:val="auto"/>
          <w:kern w:val="0"/>
          <w:sz w:val="28"/>
          <w:szCs w:val="28"/>
          <w:lang w:eastAsia="zh-CN"/>
        </w:rPr>
        <w:t>2</w:t>
      </w:r>
      <w:r>
        <w:rPr>
          <w:rFonts w:hint="eastAsia" w:eastAsia="仿宋_GB2312"/>
          <w:b w:val="0"/>
          <w:bCs w:val="0"/>
          <w:color w:val="auto"/>
          <w:kern w:val="0"/>
          <w:sz w:val="28"/>
          <w:szCs w:val="28"/>
          <w:lang w:val="en-US" w:eastAsia="zh-CN"/>
        </w:rPr>
        <w:t>1</w:t>
      </w:r>
      <w:r>
        <w:rPr>
          <w:rFonts w:eastAsia="仿宋_GB2312"/>
          <w:b w:val="0"/>
          <w:bCs w:val="0"/>
          <w:color w:val="auto"/>
          <w:kern w:val="0"/>
          <w:sz w:val="28"/>
          <w:szCs w:val="28"/>
        </w:rPr>
        <w:t>日-</w:t>
      </w:r>
      <w:r>
        <w:rPr>
          <w:rFonts w:hint="eastAsia" w:eastAsia="仿宋_GB2312"/>
          <w:b w:val="0"/>
          <w:bCs w:val="0"/>
          <w:color w:val="auto"/>
          <w:kern w:val="0"/>
          <w:sz w:val="28"/>
          <w:szCs w:val="28"/>
          <w:lang w:eastAsia="zh-CN"/>
        </w:rPr>
        <w:t>6</w:t>
      </w:r>
      <w:r>
        <w:rPr>
          <w:rFonts w:eastAsia="仿宋_GB2312"/>
          <w:b w:val="0"/>
          <w:bCs w:val="0"/>
          <w:color w:val="auto"/>
          <w:kern w:val="0"/>
          <w:sz w:val="28"/>
          <w:szCs w:val="28"/>
        </w:rPr>
        <w:t>月</w:t>
      </w:r>
      <w:r>
        <w:rPr>
          <w:rFonts w:hint="eastAsia" w:eastAsia="仿宋_GB2312"/>
          <w:b w:val="0"/>
          <w:bCs w:val="0"/>
          <w:color w:val="auto"/>
          <w:kern w:val="0"/>
          <w:sz w:val="28"/>
          <w:szCs w:val="28"/>
          <w:lang w:eastAsia="zh-CN"/>
        </w:rPr>
        <w:t>1</w:t>
      </w:r>
      <w:r>
        <w:rPr>
          <w:rFonts w:hint="eastAsia" w:eastAsia="仿宋_GB2312"/>
          <w:b w:val="0"/>
          <w:bCs w:val="0"/>
          <w:color w:val="auto"/>
          <w:kern w:val="0"/>
          <w:sz w:val="28"/>
          <w:szCs w:val="28"/>
          <w:lang w:val="en-US" w:eastAsia="zh-CN"/>
        </w:rPr>
        <w:t>0</w:t>
      </w:r>
      <w:r>
        <w:rPr>
          <w:rFonts w:eastAsia="仿宋_GB2312"/>
          <w:b w:val="0"/>
          <w:bCs w:val="0"/>
          <w:color w:val="auto"/>
          <w:kern w:val="0"/>
          <w:sz w:val="28"/>
          <w:szCs w:val="28"/>
        </w:rPr>
        <w:t>日）</w:t>
      </w:r>
    </w:p>
    <w:p>
      <w:pPr>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eastAsia="仿宋_GB2312"/>
          <w:color w:val="auto"/>
          <w:kern w:val="0"/>
          <w:sz w:val="28"/>
          <w:szCs w:val="28"/>
        </w:rPr>
      </w:pPr>
      <w:r>
        <w:rPr>
          <w:rFonts w:eastAsia="仿宋_GB2312"/>
          <w:color w:val="auto"/>
          <w:kern w:val="0"/>
          <w:sz w:val="28"/>
          <w:szCs w:val="28"/>
        </w:rPr>
        <w:t>评价小组</w:t>
      </w:r>
      <w:r>
        <w:rPr>
          <w:rFonts w:hint="eastAsia" w:eastAsia="仿宋_GB2312"/>
          <w:color w:val="auto"/>
          <w:kern w:val="0"/>
          <w:sz w:val="28"/>
          <w:szCs w:val="28"/>
        </w:rPr>
        <w:t>到</w:t>
      </w:r>
      <w:r>
        <w:rPr>
          <w:rFonts w:eastAsia="仿宋_GB2312"/>
          <w:color w:val="auto"/>
          <w:kern w:val="0"/>
          <w:sz w:val="28"/>
          <w:szCs w:val="28"/>
        </w:rPr>
        <w:t>实地</w:t>
      </w:r>
      <w:r>
        <w:rPr>
          <w:rFonts w:hint="eastAsia" w:eastAsia="仿宋_GB2312"/>
          <w:color w:val="auto"/>
          <w:kern w:val="0"/>
          <w:sz w:val="28"/>
          <w:szCs w:val="28"/>
        </w:rPr>
        <w:t>进行</w:t>
      </w:r>
      <w:r>
        <w:rPr>
          <w:rFonts w:eastAsia="仿宋_GB2312"/>
          <w:color w:val="auto"/>
          <w:kern w:val="0"/>
          <w:sz w:val="28"/>
          <w:szCs w:val="28"/>
        </w:rPr>
        <w:t>采集数据，完善评价基础资料。评价小组工作人员对基础数据进行查验，就</w:t>
      </w:r>
      <w:r>
        <w:rPr>
          <w:rFonts w:hint="eastAsia" w:eastAsia="仿宋_GB2312"/>
          <w:color w:val="auto"/>
          <w:kern w:val="0"/>
          <w:sz w:val="28"/>
          <w:szCs w:val="28"/>
        </w:rPr>
        <w:t>项目实际情况</w:t>
      </w:r>
      <w:r>
        <w:rPr>
          <w:rFonts w:eastAsia="仿宋_GB2312"/>
          <w:color w:val="auto"/>
          <w:kern w:val="0"/>
          <w:sz w:val="28"/>
          <w:szCs w:val="28"/>
        </w:rPr>
        <w:t>等做深入了解，并开展访谈、合规性检查、问卷等调研。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eastAsia="仿宋_GB2312"/>
          <w:b w:val="0"/>
          <w:bCs w:val="0"/>
          <w:color w:val="auto"/>
          <w:kern w:val="0"/>
          <w:sz w:val="28"/>
          <w:szCs w:val="28"/>
        </w:rPr>
      </w:pPr>
      <w:r>
        <w:rPr>
          <w:rFonts w:hint="eastAsia" w:eastAsia="仿宋_GB2312"/>
          <w:b w:val="0"/>
          <w:bCs w:val="0"/>
          <w:color w:val="auto"/>
          <w:kern w:val="0"/>
          <w:sz w:val="28"/>
          <w:szCs w:val="28"/>
          <w:lang w:val="en-US" w:eastAsia="zh-CN"/>
        </w:rPr>
        <w:t>3）</w:t>
      </w:r>
      <w:r>
        <w:rPr>
          <w:rFonts w:hint="eastAsia" w:eastAsia="仿宋_GB2312"/>
          <w:b w:val="0"/>
          <w:bCs w:val="0"/>
          <w:color w:val="auto"/>
          <w:kern w:val="0"/>
          <w:sz w:val="28"/>
          <w:szCs w:val="28"/>
        </w:rPr>
        <w:t>分析评价</w:t>
      </w:r>
      <w:r>
        <w:rPr>
          <w:rFonts w:eastAsia="仿宋_GB2312"/>
          <w:b w:val="0"/>
          <w:bCs w:val="0"/>
          <w:color w:val="auto"/>
          <w:kern w:val="0"/>
          <w:sz w:val="28"/>
          <w:szCs w:val="28"/>
        </w:rPr>
        <w:t>（20</w:t>
      </w:r>
      <w:r>
        <w:rPr>
          <w:rFonts w:hint="eastAsia" w:eastAsia="仿宋_GB2312"/>
          <w:b w:val="0"/>
          <w:bCs w:val="0"/>
          <w:color w:val="auto"/>
          <w:kern w:val="0"/>
          <w:sz w:val="28"/>
          <w:szCs w:val="28"/>
        </w:rPr>
        <w:t>20</w:t>
      </w:r>
      <w:r>
        <w:rPr>
          <w:rFonts w:eastAsia="仿宋_GB2312"/>
          <w:b w:val="0"/>
          <w:bCs w:val="0"/>
          <w:color w:val="auto"/>
          <w:kern w:val="0"/>
          <w:sz w:val="28"/>
          <w:szCs w:val="28"/>
        </w:rPr>
        <w:t>年</w:t>
      </w:r>
      <w:r>
        <w:rPr>
          <w:rFonts w:hint="eastAsia" w:eastAsia="仿宋_GB2312"/>
          <w:b w:val="0"/>
          <w:bCs w:val="0"/>
          <w:color w:val="auto"/>
          <w:kern w:val="0"/>
          <w:sz w:val="28"/>
          <w:szCs w:val="28"/>
          <w:lang w:eastAsia="zh-CN"/>
        </w:rPr>
        <w:t>6</w:t>
      </w:r>
      <w:r>
        <w:rPr>
          <w:rFonts w:eastAsia="仿宋_GB2312"/>
          <w:b w:val="0"/>
          <w:bCs w:val="0"/>
          <w:color w:val="auto"/>
          <w:kern w:val="0"/>
          <w:sz w:val="28"/>
          <w:szCs w:val="28"/>
        </w:rPr>
        <w:t>月</w:t>
      </w:r>
      <w:r>
        <w:rPr>
          <w:rFonts w:hint="eastAsia" w:eastAsia="仿宋_GB2312"/>
          <w:b w:val="0"/>
          <w:bCs w:val="0"/>
          <w:color w:val="auto"/>
          <w:kern w:val="0"/>
          <w:sz w:val="28"/>
          <w:szCs w:val="28"/>
          <w:lang w:eastAsia="zh-CN"/>
        </w:rPr>
        <w:t>1</w:t>
      </w:r>
      <w:r>
        <w:rPr>
          <w:rFonts w:hint="eastAsia" w:eastAsia="仿宋_GB2312"/>
          <w:b w:val="0"/>
          <w:bCs w:val="0"/>
          <w:color w:val="auto"/>
          <w:kern w:val="0"/>
          <w:sz w:val="28"/>
          <w:szCs w:val="28"/>
          <w:lang w:val="en-US" w:eastAsia="zh-CN"/>
        </w:rPr>
        <w:t>0</w:t>
      </w:r>
      <w:r>
        <w:rPr>
          <w:rFonts w:eastAsia="仿宋_GB2312"/>
          <w:b w:val="0"/>
          <w:bCs w:val="0"/>
          <w:color w:val="auto"/>
          <w:kern w:val="0"/>
          <w:sz w:val="28"/>
          <w:szCs w:val="28"/>
        </w:rPr>
        <w:t>日-</w:t>
      </w:r>
      <w:r>
        <w:rPr>
          <w:rFonts w:hint="eastAsia" w:eastAsia="仿宋_GB2312"/>
          <w:b w:val="0"/>
          <w:bCs w:val="0"/>
          <w:color w:val="auto"/>
          <w:kern w:val="0"/>
          <w:sz w:val="28"/>
          <w:szCs w:val="28"/>
          <w:lang w:eastAsia="zh-CN"/>
        </w:rPr>
        <w:t>6</w:t>
      </w:r>
      <w:r>
        <w:rPr>
          <w:rFonts w:eastAsia="仿宋_GB2312"/>
          <w:b w:val="0"/>
          <w:bCs w:val="0"/>
          <w:color w:val="auto"/>
          <w:kern w:val="0"/>
          <w:sz w:val="28"/>
          <w:szCs w:val="28"/>
        </w:rPr>
        <w:t>月</w:t>
      </w:r>
      <w:r>
        <w:rPr>
          <w:rFonts w:hint="eastAsia" w:eastAsia="仿宋_GB2312"/>
          <w:b w:val="0"/>
          <w:bCs w:val="0"/>
          <w:color w:val="auto"/>
          <w:kern w:val="0"/>
          <w:sz w:val="28"/>
          <w:szCs w:val="28"/>
          <w:lang w:eastAsia="zh-CN"/>
        </w:rPr>
        <w:t>2</w:t>
      </w:r>
      <w:r>
        <w:rPr>
          <w:rFonts w:hint="eastAsia" w:eastAsia="仿宋_GB2312"/>
          <w:b w:val="0"/>
          <w:bCs w:val="0"/>
          <w:color w:val="auto"/>
          <w:kern w:val="0"/>
          <w:sz w:val="28"/>
          <w:szCs w:val="28"/>
          <w:lang w:val="en-US" w:eastAsia="zh-CN"/>
        </w:rPr>
        <w:t>8</w:t>
      </w:r>
      <w:r>
        <w:rPr>
          <w:rFonts w:eastAsia="仿宋_GB2312"/>
          <w:b w:val="0"/>
          <w:bCs w:val="0"/>
          <w:color w:val="auto"/>
          <w:kern w:val="0"/>
          <w:sz w:val="28"/>
          <w:szCs w:val="28"/>
        </w:rPr>
        <w:t>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eastAsia="仿宋_GB2312"/>
          <w:color w:val="auto"/>
          <w:kern w:val="0"/>
          <w:sz w:val="28"/>
          <w:szCs w:val="28"/>
        </w:rPr>
      </w:pPr>
      <w:r>
        <w:rPr>
          <w:rFonts w:hint="eastAsia" w:eastAsia="仿宋_GB2312"/>
          <w:color w:val="auto"/>
          <w:kern w:val="0"/>
          <w:sz w:val="28"/>
          <w:szCs w:val="28"/>
          <w:lang w:val="en-US" w:eastAsia="zh-CN"/>
        </w:rPr>
        <w:t>①</w:t>
      </w:r>
      <w:r>
        <w:rPr>
          <w:rFonts w:eastAsia="仿宋_GB2312"/>
          <w:color w:val="auto"/>
          <w:kern w:val="0"/>
          <w:sz w:val="28"/>
          <w:szCs w:val="28"/>
        </w:rPr>
        <w:t>根据评价标准量化打分，撰写绩效评价报告初稿（20</w:t>
      </w:r>
      <w:r>
        <w:rPr>
          <w:rFonts w:hint="eastAsia" w:eastAsia="仿宋_GB2312"/>
          <w:color w:val="auto"/>
          <w:kern w:val="0"/>
          <w:sz w:val="28"/>
          <w:szCs w:val="28"/>
        </w:rPr>
        <w:t>20</w:t>
      </w:r>
      <w:r>
        <w:rPr>
          <w:rFonts w:eastAsia="仿宋_GB2312"/>
          <w:color w:val="auto"/>
          <w:kern w:val="0"/>
          <w:sz w:val="28"/>
          <w:szCs w:val="28"/>
        </w:rPr>
        <w:t>年</w:t>
      </w:r>
      <w:r>
        <w:rPr>
          <w:rFonts w:hint="eastAsia" w:eastAsia="仿宋_GB2312"/>
          <w:color w:val="auto"/>
          <w:kern w:val="0"/>
          <w:sz w:val="28"/>
          <w:szCs w:val="28"/>
          <w:lang w:eastAsia="zh-CN"/>
        </w:rPr>
        <w:t>6</w:t>
      </w:r>
      <w:r>
        <w:rPr>
          <w:rFonts w:eastAsia="仿宋_GB2312"/>
          <w:color w:val="auto"/>
          <w:kern w:val="0"/>
          <w:sz w:val="28"/>
          <w:szCs w:val="28"/>
        </w:rPr>
        <w:t>月1</w:t>
      </w:r>
      <w:r>
        <w:rPr>
          <w:rFonts w:hint="eastAsia" w:eastAsia="仿宋_GB2312"/>
          <w:color w:val="auto"/>
          <w:kern w:val="0"/>
          <w:sz w:val="28"/>
          <w:szCs w:val="28"/>
          <w:lang w:val="en-US" w:eastAsia="zh-CN"/>
        </w:rPr>
        <w:t>0</w:t>
      </w:r>
      <w:r>
        <w:rPr>
          <w:rFonts w:eastAsia="仿宋_GB2312"/>
          <w:color w:val="auto"/>
          <w:kern w:val="0"/>
          <w:sz w:val="28"/>
          <w:szCs w:val="28"/>
        </w:rPr>
        <w:t>日-</w:t>
      </w:r>
      <w:r>
        <w:rPr>
          <w:rFonts w:hint="eastAsia" w:eastAsia="仿宋_GB2312"/>
          <w:color w:val="auto"/>
          <w:kern w:val="0"/>
          <w:sz w:val="28"/>
          <w:szCs w:val="28"/>
          <w:lang w:eastAsia="zh-CN"/>
        </w:rPr>
        <w:t>6</w:t>
      </w:r>
      <w:r>
        <w:rPr>
          <w:rFonts w:eastAsia="仿宋_GB2312"/>
          <w:color w:val="auto"/>
          <w:kern w:val="0"/>
          <w:sz w:val="28"/>
          <w:szCs w:val="28"/>
        </w:rPr>
        <w:t>月</w:t>
      </w:r>
      <w:r>
        <w:rPr>
          <w:rFonts w:hint="eastAsia" w:eastAsia="仿宋_GB2312"/>
          <w:color w:val="auto"/>
          <w:kern w:val="0"/>
          <w:sz w:val="28"/>
          <w:szCs w:val="28"/>
          <w:lang w:eastAsia="zh-CN"/>
        </w:rPr>
        <w:t>2</w:t>
      </w:r>
      <w:r>
        <w:rPr>
          <w:rFonts w:hint="eastAsia" w:eastAsia="仿宋_GB2312"/>
          <w:color w:val="auto"/>
          <w:kern w:val="0"/>
          <w:sz w:val="28"/>
          <w:szCs w:val="28"/>
          <w:lang w:val="en-US" w:eastAsia="zh-CN"/>
        </w:rPr>
        <w:t>0</w:t>
      </w:r>
      <w:r>
        <w:rPr>
          <w:rFonts w:eastAsia="仿宋_GB2312"/>
          <w:color w:val="auto"/>
          <w:kern w:val="0"/>
          <w:sz w:val="28"/>
          <w:szCs w:val="28"/>
        </w:rPr>
        <w:t>日）</w:t>
      </w:r>
      <w:r>
        <w:rPr>
          <w:rFonts w:hint="eastAsia" w:eastAsia="仿宋_GB2312"/>
          <w:color w:val="auto"/>
          <w:kern w:val="0"/>
          <w:sz w:val="28"/>
          <w:szCs w:val="28"/>
        </w:rPr>
        <w:t>：</w:t>
      </w:r>
      <w:r>
        <w:rPr>
          <w:rFonts w:eastAsia="仿宋_GB2312"/>
          <w:color w:val="auto"/>
          <w:kern w:val="0"/>
          <w:sz w:val="28"/>
          <w:szCs w:val="28"/>
        </w:rPr>
        <w:t>汇总分析评价数据，依据制订的评价标准和打分规则，对投入</w:t>
      </w:r>
      <w:r>
        <w:rPr>
          <w:rFonts w:hint="eastAsia" w:eastAsia="仿宋_GB2312"/>
          <w:color w:val="auto"/>
          <w:kern w:val="0"/>
          <w:sz w:val="28"/>
          <w:szCs w:val="28"/>
        </w:rPr>
        <w:t>、</w:t>
      </w:r>
      <w:r>
        <w:rPr>
          <w:rFonts w:eastAsia="仿宋_GB2312"/>
          <w:color w:val="auto"/>
          <w:kern w:val="0"/>
          <w:sz w:val="28"/>
          <w:szCs w:val="28"/>
        </w:rPr>
        <w:t>产出</w:t>
      </w:r>
      <w:r>
        <w:rPr>
          <w:rFonts w:hint="eastAsia" w:eastAsia="仿宋_GB2312"/>
          <w:color w:val="auto"/>
          <w:kern w:val="0"/>
          <w:sz w:val="28"/>
          <w:szCs w:val="28"/>
        </w:rPr>
        <w:t>、</w:t>
      </w:r>
      <w:r>
        <w:rPr>
          <w:rFonts w:eastAsia="仿宋_GB2312"/>
          <w:color w:val="auto"/>
          <w:kern w:val="0"/>
          <w:sz w:val="28"/>
          <w:szCs w:val="28"/>
        </w:rPr>
        <w:t>绩效进行量化打分，并分析</w:t>
      </w:r>
      <w:r>
        <w:rPr>
          <w:rFonts w:hint="eastAsia" w:eastAsia="仿宋_GB2312"/>
          <w:color w:val="auto"/>
          <w:kern w:val="0"/>
          <w:sz w:val="28"/>
          <w:szCs w:val="28"/>
        </w:rPr>
        <w:t>专项资金</w:t>
      </w:r>
      <w:r>
        <w:rPr>
          <w:rFonts w:eastAsia="仿宋_GB2312"/>
          <w:color w:val="auto"/>
          <w:kern w:val="0"/>
          <w:sz w:val="28"/>
          <w:szCs w:val="28"/>
        </w:rPr>
        <w:t>的经济性、效率性和效益</w:t>
      </w:r>
      <w:r>
        <w:rPr>
          <w:rFonts w:hint="eastAsia" w:eastAsia="仿宋_GB2312"/>
          <w:color w:val="auto"/>
          <w:kern w:val="0"/>
          <w:sz w:val="28"/>
          <w:szCs w:val="28"/>
        </w:rPr>
        <w:t>性</w:t>
      </w:r>
      <w:r>
        <w:rPr>
          <w:rFonts w:eastAsia="仿宋_GB2312"/>
          <w:color w:val="auto"/>
          <w:kern w:val="0"/>
          <w:sz w:val="28"/>
          <w:szCs w:val="28"/>
        </w:rPr>
        <w:t>，撰写绩效评价报告，针对存在问题提出改进建议。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eastAsia="仿宋_GB2312"/>
          <w:color w:val="auto"/>
          <w:kern w:val="0"/>
          <w:sz w:val="28"/>
          <w:szCs w:val="28"/>
        </w:rPr>
      </w:pPr>
      <w:r>
        <w:rPr>
          <w:rFonts w:hint="eastAsia" w:eastAsia="仿宋_GB2312"/>
          <w:color w:val="auto"/>
          <w:kern w:val="0"/>
          <w:sz w:val="28"/>
          <w:szCs w:val="28"/>
          <w:lang w:val="en-US" w:eastAsia="zh-CN"/>
        </w:rPr>
        <w:t>②</w:t>
      </w:r>
      <w:r>
        <w:rPr>
          <w:rFonts w:eastAsia="仿宋_GB2312"/>
          <w:color w:val="auto"/>
          <w:kern w:val="0"/>
          <w:sz w:val="28"/>
          <w:szCs w:val="28"/>
        </w:rPr>
        <w:t>报告修改定稿阶段（20</w:t>
      </w:r>
      <w:r>
        <w:rPr>
          <w:rFonts w:hint="eastAsia" w:eastAsia="仿宋_GB2312"/>
          <w:color w:val="auto"/>
          <w:kern w:val="0"/>
          <w:sz w:val="28"/>
          <w:szCs w:val="28"/>
        </w:rPr>
        <w:t>20</w:t>
      </w:r>
      <w:r>
        <w:rPr>
          <w:rFonts w:eastAsia="仿宋_GB2312"/>
          <w:color w:val="auto"/>
          <w:kern w:val="0"/>
          <w:sz w:val="28"/>
          <w:szCs w:val="28"/>
        </w:rPr>
        <w:t>年</w:t>
      </w:r>
      <w:r>
        <w:rPr>
          <w:rFonts w:hint="eastAsia" w:eastAsia="仿宋_GB2312"/>
          <w:color w:val="auto"/>
          <w:kern w:val="0"/>
          <w:sz w:val="28"/>
          <w:szCs w:val="28"/>
          <w:lang w:eastAsia="zh-CN"/>
        </w:rPr>
        <w:t>6</w:t>
      </w:r>
      <w:r>
        <w:rPr>
          <w:rFonts w:eastAsia="仿宋_GB2312"/>
          <w:color w:val="auto"/>
          <w:kern w:val="0"/>
          <w:sz w:val="28"/>
          <w:szCs w:val="28"/>
        </w:rPr>
        <w:t>月</w:t>
      </w:r>
      <w:r>
        <w:rPr>
          <w:rFonts w:hint="eastAsia" w:eastAsia="仿宋_GB2312"/>
          <w:color w:val="auto"/>
          <w:kern w:val="0"/>
          <w:sz w:val="28"/>
          <w:szCs w:val="28"/>
          <w:lang w:eastAsia="zh-CN"/>
        </w:rPr>
        <w:t>2</w:t>
      </w:r>
      <w:r>
        <w:rPr>
          <w:rFonts w:hint="eastAsia" w:eastAsia="仿宋_GB2312"/>
          <w:color w:val="auto"/>
          <w:kern w:val="0"/>
          <w:sz w:val="28"/>
          <w:szCs w:val="28"/>
          <w:lang w:val="en-US" w:eastAsia="zh-CN"/>
        </w:rPr>
        <w:t>0</w:t>
      </w:r>
      <w:r>
        <w:rPr>
          <w:rFonts w:eastAsia="仿宋_GB2312"/>
          <w:color w:val="auto"/>
          <w:kern w:val="0"/>
          <w:sz w:val="28"/>
          <w:szCs w:val="28"/>
        </w:rPr>
        <w:t>日-</w:t>
      </w:r>
      <w:r>
        <w:rPr>
          <w:rFonts w:hint="eastAsia" w:eastAsia="仿宋_GB2312"/>
          <w:color w:val="auto"/>
          <w:kern w:val="0"/>
          <w:sz w:val="28"/>
          <w:szCs w:val="28"/>
          <w:lang w:eastAsia="zh-CN"/>
        </w:rPr>
        <w:t>6</w:t>
      </w:r>
      <w:r>
        <w:rPr>
          <w:rFonts w:eastAsia="仿宋_GB2312"/>
          <w:color w:val="auto"/>
          <w:kern w:val="0"/>
          <w:sz w:val="28"/>
          <w:szCs w:val="28"/>
        </w:rPr>
        <w:t>月</w:t>
      </w:r>
      <w:r>
        <w:rPr>
          <w:rFonts w:hint="eastAsia" w:eastAsia="仿宋_GB2312"/>
          <w:color w:val="auto"/>
          <w:kern w:val="0"/>
          <w:sz w:val="28"/>
          <w:szCs w:val="28"/>
          <w:lang w:eastAsia="zh-CN"/>
        </w:rPr>
        <w:t>2</w:t>
      </w:r>
      <w:r>
        <w:rPr>
          <w:rFonts w:hint="eastAsia" w:eastAsia="仿宋_GB2312"/>
          <w:color w:val="auto"/>
          <w:kern w:val="0"/>
          <w:sz w:val="28"/>
          <w:szCs w:val="28"/>
          <w:lang w:val="en-US" w:eastAsia="zh-CN"/>
        </w:rPr>
        <w:t>8</w:t>
      </w:r>
      <w:r>
        <w:rPr>
          <w:rFonts w:eastAsia="仿宋_GB2312"/>
          <w:color w:val="auto"/>
          <w:kern w:val="0"/>
          <w:sz w:val="28"/>
          <w:szCs w:val="28"/>
        </w:rPr>
        <w:t>日）</w:t>
      </w:r>
      <w:r>
        <w:rPr>
          <w:rFonts w:hint="eastAsia" w:eastAsia="仿宋_GB2312"/>
          <w:color w:val="auto"/>
          <w:kern w:val="0"/>
          <w:sz w:val="28"/>
          <w:szCs w:val="28"/>
        </w:rPr>
        <w:t>：项目组结合多方意见对报告内容进行调整、修改</w:t>
      </w:r>
      <w:r>
        <w:rPr>
          <w:rFonts w:eastAsia="仿宋_GB2312"/>
          <w:color w:val="auto"/>
          <w:kern w:val="0"/>
          <w:sz w:val="28"/>
          <w:szCs w:val="28"/>
        </w:rPr>
        <w:t>，形成绩效评价报告终稿。</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val="en-US" w:eastAsia="zh-CN"/>
        </w:rPr>
      </w:pPr>
      <w:bookmarkStart w:id="132" w:name="_Toc13217"/>
      <w:bookmarkStart w:id="133" w:name="_Toc4762"/>
      <w:bookmarkStart w:id="134" w:name="_Toc7391"/>
      <w:bookmarkStart w:id="135" w:name="_Toc13401"/>
      <w:r>
        <w:rPr>
          <w:rFonts w:hint="eastAsia" w:ascii="仿宋" w:hAnsi="仿宋" w:eastAsia="仿宋" w:cs="仿宋"/>
          <w:b/>
          <w:bCs/>
          <w:sz w:val="30"/>
          <w:szCs w:val="30"/>
          <w:lang w:val="en-US" w:eastAsia="zh-CN"/>
        </w:rPr>
        <w:t>三、综合评价情况及评价结论（附相关评分表）</w:t>
      </w:r>
      <w:bookmarkEnd w:id="132"/>
      <w:bookmarkEnd w:id="133"/>
      <w:bookmarkEnd w:id="134"/>
      <w:bookmarkEnd w:id="135"/>
    </w:p>
    <w:p>
      <w:pPr>
        <w:pageBreakBefore w:val="0"/>
        <w:widowControl w:val="0"/>
        <w:numPr>
          <w:ilvl w:val="0"/>
          <w:numId w:val="0"/>
        </w:numPr>
        <w:kinsoku/>
        <w:wordWrap/>
        <w:overflowPunct/>
        <w:topLinePunct w:val="0"/>
        <w:autoSpaceDE/>
        <w:autoSpaceDN/>
        <w:bidi w:val="0"/>
        <w:adjustRightInd/>
        <w:snapToGrid/>
        <w:spacing w:line="240" w:lineRule="auto"/>
        <w:ind w:leftChars="200"/>
        <w:jc w:val="both"/>
        <w:textAlignment w:val="auto"/>
        <w:outlineLvl w:val="1"/>
        <w:rPr>
          <w:rFonts w:hint="eastAsia" w:ascii="Times New Roman" w:hAnsi="Times New Roman" w:eastAsia="仿宋_GB2312" w:cs="Times New Roman"/>
          <w:b/>
          <w:bCs/>
          <w:color w:val="auto"/>
          <w:kern w:val="0"/>
          <w:sz w:val="28"/>
          <w:szCs w:val="28"/>
          <w:lang w:val="en-US" w:eastAsia="zh-CN"/>
        </w:rPr>
      </w:pPr>
      <w:bookmarkStart w:id="136" w:name="_Toc28783"/>
      <w:bookmarkStart w:id="137" w:name="_Toc5294"/>
      <w:bookmarkStart w:id="138" w:name="_Toc12970"/>
      <w:bookmarkStart w:id="139" w:name="_Toc5263"/>
      <w:r>
        <w:rPr>
          <w:rFonts w:hint="eastAsia" w:ascii="Times New Roman" w:hAnsi="Times New Roman" w:eastAsia="仿宋_GB2312" w:cs="Times New Roman"/>
          <w:b/>
          <w:bCs/>
          <w:color w:val="auto"/>
          <w:kern w:val="0"/>
          <w:sz w:val="28"/>
          <w:szCs w:val="28"/>
          <w:lang w:val="en-US" w:eastAsia="zh-CN"/>
        </w:rPr>
        <w:t>（一）评价结论</w:t>
      </w:r>
      <w:bookmarkEnd w:id="136"/>
      <w:bookmarkEnd w:id="137"/>
      <w:bookmarkEnd w:id="138"/>
      <w:bookmarkEnd w:id="139"/>
    </w:p>
    <w:p>
      <w:pPr>
        <w:pStyle w:val="17"/>
        <w:widowControl w:val="0"/>
        <w:overflowPunct w:val="0"/>
        <w:autoSpaceDE w:val="0"/>
        <w:autoSpaceDN w:val="0"/>
        <w:adjustRightInd w:val="0"/>
        <w:snapToGrid w:val="0"/>
        <w:spacing w:line="540" w:lineRule="exact"/>
        <w:ind w:firstLine="640"/>
        <w:rPr>
          <w:rFonts w:hint="default" w:ascii="Calibri" w:hAnsi="Calibri" w:eastAsia="仿宋_GB2312" w:cs="Times New Roman"/>
          <w:color w:val="FF0000"/>
          <w:kern w:val="0"/>
          <w:sz w:val="28"/>
          <w:szCs w:val="28"/>
          <w:lang w:val="en-US" w:eastAsia="zh-CN" w:bidi="ar-SA"/>
        </w:rPr>
      </w:pPr>
      <w:r>
        <w:rPr>
          <w:rFonts w:hint="default" w:ascii="Calibri" w:hAnsi="Calibri" w:eastAsia="仿宋_GB2312" w:cs="Times New Roman"/>
          <w:color w:val="auto"/>
          <w:kern w:val="0"/>
          <w:sz w:val="28"/>
          <w:szCs w:val="28"/>
          <w:lang w:val="en-US" w:eastAsia="zh-CN" w:bidi="ar-SA"/>
        </w:rPr>
        <w:t>运用由评价组研发的评价指标体系及评分标准，通过数据采集、问卷调查及访谈等方法，对201</w:t>
      </w:r>
      <w:r>
        <w:rPr>
          <w:rFonts w:hint="eastAsia" w:ascii="Calibri" w:hAnsi="Calibri" w:eastAsia="仿宋_GB2312" w:cs="Times New Roman"/>
          <w:color w:val="auto"/>
          <w:kern w:val="0"/>
          <w:sz w:val="28"/>
          <w:szCs w:val="28"/>
          <w:lang w:val="en-US" w:eastAsia="zh-CN" w:bidi="ar-SA"/>
        </w:rPr>
        <w:t>9</w:t>
      </w:r>
      <w:r>
        <w:rPr>
          <w:rFonts w:hint="default" w:ascii="Calibri" w:hAnsi="Calibri" w:eastAsia="仿宋_GB2312" w:cs="Times New Roman"/>
          <w:color w:val="auto"/>
          <w:kern w:val="0"/>
          <w:sz w:val="28"/>
          <w:szCs w:val="28"/>
          <w:lang w:val="en-US" w:eastAsia="zh-CN" w:bidi="ar-SA"/>
        </w:rPr>
        <w:t>年</w:t>
      </w:r>
      <w:r>
        <w:rPr>
          <w:rFonts w:hint="eastAsia" w:cs="Times New Roman"/>
          <w:color w:val="auto"/>
          <w:kern w:val="0"/>
          <w:sz w:val="28"/>
          <w:szCs w:val="28"/>
          <w:lang w:val="en-US" w:eastAsia="zh-CN" w:bidi="ar-SA"/>
        </w:rPr>
        <w:t>甘肃省人民代表大会常务委员会立法专项</w:t>
      </w:r>
      <w:r>
        <w:rPr>
          <w:rFonts w:hint="default" w:ascii="Calibri" w:hAnsi="Calibri" w:eastAsia="仿宋_GB2312" w:cs="Times New Roman"/>
          <w:color w:val="auto"/>
          <w:kern w:val="0"/>
          <w:sz w:val="28"/>
          <w:szCs w:val="28"/>
          <w:lang w:val="en-US" w:eastAsia="zh-CN" w:bidi="ar-SA"/>
        </w:rPr>
        <w:t>项目进行客观评价，最终评分结果为</w:t>
      </w:r>
      <w:r>
        <w:rPr>
          <w:rFonts w:hint="eastAsia" w:cs="Times New Roman"/>
          <w:color w:val="auto"/>
          <w:kern w:val="0"/>
          <w:sz w:val="28"/>
          <w:szCs w:val="28"/>
          <w:lang w:val="en-US" w:eastAsia="zh-CN" w:bidi="ar-SA"/>
        </w:rPr>
        <w:t>90.7</w:t>
      </w:r>
      <w:r>
        <w:rPr>
          <w:rFonts w:hint="default" w:ascii="Calibri" w:hAnsi="Calibri" w:eastAsia="仿宋_GB2312" w:cs="Times New Roman"/>
          <w:color w:val="auto"/>
          <w:kern w:val="0"/>
          <w:sz w:val="28"/>
          <w:szCs w:val="28"/>
          <w:lang w:val="en-US" w:eastAsia="zh-CN" w:bidi="ar-SA"/>
        </w:rPr>
        <w:t>分，属于“</w:t>
      </w:r>
      <w:r>
        <w:rPr>
          <w:rFonts w:hint="eastAsia" w:cs="Times New Roman"/>
          <w:color w:val="auto"/>
          <w:kern w:val="0"/>
          <w:sz w:val="28"/>
          <w:szCs w:val="28"/>
          <w:lang w:val="en-US" w:eastAsia="zh-CN" w:bidi="ar-SA"/>
        </w:rPr>
        <w:t>优</w:t>
      </w:r>
      <w:r>
        <w:rPr>
          <w:rFonts w:hint="default" w:ascii="Calibri" w:hAnsi="Calibri" w:eastAsia="仿宋_GB2312" w:cs="Times New Roman"/>
          <w:color w:val="auto"/>
          <w:kern w:val="0"/>
          <w:sz w:val="28"/>
          <w:szCs w:val="28"/>
          <w:lang w:val="en-US" w:eastAsia="zh-CN" w:bidi="ar-SA"/>
        </w:rPr>
        <w:t>”。项目绩效整体分值见表</w:t>
      </w:r>
      <w:r>
        <w:rPr>
          <w:rFonts w:hint="eastAsia" w:cs="Times New Roman"/>
          <w:color w:val="auto"/>
          <w:kern w:val="0"/>
          <w:sz w:val="28"/>
          <w:szCs w:val="28"/>
          <w:lang w:val="en-US" w:eastAsia="zh-CN" w:bidi="ar-SA"/>
        </w:rPr>
        <w:t>4，项目绩效分项分值见表5。</w:t>
      </w:r>
    </w:p>
    <w:p>
      <w:pPr>
        <w:pStyle w:val="17"/>
        <w:widowControl w:val="0"/>
        <w:overflowPunct w:val="0"/>
        <w:autoSpaceDE w:val="0"/>
        <w:autoSpaceDN w:val="0"/>
        <w:adjustRightInd w:val="0"/>
        <w:snapToGrid w:val="0"/>
        <w:spacing w:line="540" w:lineRule="exact"/>
        <w:ind w:firstLine="640"/>
        <w:rPr>
          <w:rFonts w:hint="default" w:ascii="Calibri" w:hAnsi="Calibri" w:eastAsia="仿宋_GB2312" w:cs="Times New Roman"/>
          <w:color w:val="FF0000"/>
          <w:kern w:val="0"/>
          <w:sz w:val="28"/>
          <w:szCs w:val="28"/>
          <w:lang w:val="en-US" w:eastAsia="zh-CN" w:bidi="ar-SA"/>
        </w:rPr>
      </w:pPr>
    </w:p>
    <w:p>
      <w:pPr>
        <w:pStyle w:val="17"/>
        <w:widowControl w:val="0"/>
        <w:overflowPunct w:val="0"/>
        <w:autoSpaceDE w:val="0"/>
        <w:autoSpaceDN w:val="0"/>
        <w:adjustRightInd w:val="0"/>
        <w:snapToGrid w:val="0"/>
        <w:spacing w:line="540" w:lineRule="exact"/>
        <w:ind w:firstLine="640"/>
        <w:jc w:val="center"/>
        <w:rPr>
          <w:rFonts w:hint="default" w:ascii="Calibri" w:hAnsi="Calibri" w:eastAsia="仿宋_GB2312" w:cs="Times New Roman"/>
          <w:color w:val="FF0000"/>
          <w:kern w:val="0"/>
          <w:sz w:val="28"/>
          <w:szCs w:val="28"/>
          <w:lang w:val="en-US" w:eastAsia="zh-CN" w:bidi="ar-SA"/>
        </w:rPr>
      </w:pPr>
    </w:p>
    <w:p>
      <w:pPr>
        <w:pStyle w:val="17"/>
        <w:widowControl w:val="0"/>
        <w:overflowPunct w:val="0"/>
        <w:autoSpaceDE w:val="0"/>
        <w:autoSpaceDN w:val="0"/>
        <w:adjustRightInd w:val="0"/>
        <w:snapToGrid w:val="0"/>
        <w:spacing w:line="540" w:lineRule="exact"/>
        <w:ind w:firstLine="640"/>
        <w:jc w:val="center"/>
        <w:rPr>
          <w:rFonts w:hint="default" w:ascii="Calibri" w:hAnsi="Calibri" w:eastAsia="仿宋_GB2312" w:cs="Times New Roman"/>
          <w:color w:val="auto"/>
          <w:kern w:val="0"/>
          <w:sz w:val="28"/>
          <w:szCs w:val="28"/>
          <w:lang w:val="en-US" w:eastAsia="zh-CN" w:bidi="ar-SA"/>
        </w:rPr>
      </w:pPr>
      <w:r>
        <w:rPr>
          <w:rFonts w:hint="default" w:ascii="Calibri" w:hAnsi="Calibri" w:eastAsia="仿宋_GB2312" w:cs="Times New Roman"/>
          <w:color w:val="auto"/>
          <w:kern w:val="0"/>
          <w:sz w:val="28"/>
          <w:szCs w:val="28"/>
          <w:lang w:val="en-US" w:eastAsia="zh-CN" w:bidi="ar-SA"/>
        </w:rPr>
        <w:t>表</w:t>
      </w:r>
      <w:r>
        <w:rPr>
          <w:rFonts w:hint="eastAsia" w:cs="Times New Roman"/>
          <w:color w:val="auto"/>
          <w:kern w:val="0"/>
          <w:sz w:val="28"/>
          <w:szCs w:val="28"/>
          <w:lang w:val="en-US" w:eastAsia="zh-CN" w:bidi="ar-SA"/>
        </w:rPr>
        <w:t>4.</w:t>
      </w:r>
      <w:r>
        <w:rPr>
          <w:rFonts w:hint="default" w:ascii="Calibri" w:hAnsi="Calibri" w:eastAsia="仿宋_GB2312" w:cs="Times New Roman"/>
          <w:color w:val="auto"/>
          <w:kern w:val="0"/>
          <w:sz w:val="28"/>
          <w:szCs w:val="28"/>
          <w:lang w:val="en-US" w:eastAsia="zh-CN" w:bidi="ar-SA"/>
        </w:rPr>
        <w:t xml:space="preserve"> 绩效评价指标得分情况汇总表</w:t>
      </w:r>
    </w:p>
    <w:tbl>
      <w:tblPr>
        <w:tblStyle w:val="15"/>
        <w:tblW w:w="85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78"/>
        <w:gridCol w:w="1781"/>
        <w:gridCol w:w="1781"/>
        <w:gridCol w:w="23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jc w:val="center"/>
        </w:trPr>
        <w:tc>
          <w:tcPr>
            <w:tcW w:w="2578" w:type="dxa"/>
            <w:shd w:val="clear" w:color="000000" w:fill="BFBFBF"/>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一级指标</w:t>
            </w:r>
          </w:p>
        </w:tc>
        <w:tc>
          <w:tcPr>
            <w:tcW w:w="1781" w:type="dxa"/>
            <w:shd w:val="clear" w:color="000000" w:fill="BFBFBF"/>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权重</w:t>
            </w:r>
          </w:p>
        </w:tc>
        <w:tc>
          <w:tcPr>
            <w:tcW w:w="1781" w:type="dxa"/>
            <w:shd w:val="clear" w:color="000000" w:fill="BFBFBF"/>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得分</w:t>
            </w:r>
          </w:p>
        </w:tc>
        <w:tc>
          <w:tcPr>
            <w:tcW w:w="2388" w:type="dxa"/>
            <w:shd w:val="clear" w:color="000000" w:fill="BFBFBF"/>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指标得分率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578"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投入类指标</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45</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39.5</w:t>
            </w:r>
          </w:p>
        </w:tc>
        <w:tc>
          <w:tcPr>
            <w:tcW w:w="2388"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87.78%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578" w:type="dxa"/>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产出类指标</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30</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30</w:t>
            </w:r>
          </w:p>
        </w:tc>
        <w:tc>
          <w:tcPr>
            <w:tcW w:w="2388"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578" w:type="dxa"/>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效果类指标</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16</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13.8</w:t>
            </w:r>
          </w:p>
        </w:tc>
        <w:tc>
          <w:tcPr>
            <w:tcW w:w="2388"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86.25%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578" w:type="dxa"/>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满意度指标</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9</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7.4</w:t>
            </w:r>
          </w:p>
        </w:tc>
        <w:tc>
          <w:tcPr>
            <w:tcW w:w="2388"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80%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578" w:type="dxa"/>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合计</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default" w:ascii="Calibri" w:hAnsi="Calibri" w:eastAsia="仿宋_GB2312" w:cs="Times New Roman"/>
                <w:color w:val="auto"/>
                <w:kern w:val="0"/>
                <w:sz w:val="24"/>
                <w:szCs w:val="24"/>
                <w:lang w:val="en-US" w:eastAsia="zh-CN" w:bidi="ar-SA"/>
              </w:rPr>
              <w:t>100</w:t>
            </w:r>
          </w:p>
        </w:tc>
        <w:tc>
          <w:tcPr>
            <w:tcW w:w="1781"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r>
              <w:rPr>
                <w:rFonts w:hint="eastAsia" w:cs="Times New Roman"/>
                <w:color w:val="auto"/>
                <w:kern w:val="0"/>
                <w:sz w:val="24"/>
                <w:szCs w:val="24"/>
                <w:lang w:val="en-US" w:eastAsia="zh-CN" w:bidi="ar-SA"/>
              </w:rPr>
              <w:t>90.7</w:t>
            </w:r>
          </w:p>
        </w:tc>
        <w:tc>
          <w:tcPr>
            <w:tcW w:w="2388" w:type="dxa"/>
            <w:shd w:val="clear" w:color="auto" w:fill="auto"/>
            <w:vAlign w:val="center"/>
          </w:tcPr>
          <w:p>
            <w:pPr>
              <w:pStyle w:val="17"/>
              <w:widowControl w:val="0"/>
              <w:overflowPunct w:val="0"/>
              <w:autoSpaceDE w:val="0"/>
              <w:autoSpaceDN w:val="0"/>
              <w:adjustRightInd w:val="0"/>
              <w:snapToGrid w:val="0"/>
              <w:spacing w:line="540" w:lineRule="exact"/>
              <w:ind w:firstLine="640"/>
              <w:jc w:val="both"/>
              <w:rPr>
                <w:rFonts w:hint="default" w:ascii="Calibri" w:hAnsi="Calibri" w:eastAsia="仿宋_GB2312" w:cs="Times New Roman"/>
                <w:color w:val="auto"/>
                <w:kern w:val="0"/>
                <w:sz w:val="24"/>
                <w:szCs w:val="24"/>
                <w:lang w:val="en-US" w:eastAsia="zh-CN" w:bidi="ar-SA"/>
              </w:rPr>
            </w:pPr>
          </w:p>
        </w:tc>
      </w:tr>
    </w:tbl>
    <w:p>
      <w:pPr>
        <w:pStyle w:val="17"/>
        <w:widowControl w:val="0"/>
        <w:overflowPunct w:val="0"/>
        <w:autoSpaceDE w:val="0"/>
        <w:autoSpaceDN w:val="0"/>
        <w:adjustRightInd w:val="0"/>
        <w:snapToGrid w:val="0"/>
        <w:spacing w:line="540" w:lineRule="exact"/>
        <w:ind w:firstLine="640"/>
        <w:jc w:val="center"/>
        <w:rPr>
          <w:rFonts w:hint="eastAsia" w:cs="Times New Roman"/>
          <w:color w:val="auto"/>
          <w:kern w:val="0"/>
          <w:sz w:val="28"/>
          <w:szCs w:val="28"/>
          <w:lang w:val="en-US" w:eastAsia="zh-CN" w:bidi="ar-SA"/>
        </w:rPr>
      </w:pPr>
      <w:bookmarkStart w:id="140" w:name="_Toc18102"/>
      <w:bookmarkStart w:id="141" w:name="_Toc27307"/>
      <w:bookmarkStart w:id="142" w:name="_Toc21303"/>
      <w:bookmarkStart w:id="143" w:name="_Toc13286"/>
      <w:bookmarkStart w:id="144" w:name="_Toc23339"/>
      <w:bookmarkStart w:id="145" w:name="_Toc27640"/>
      <w:bookmarkStart w:id="146" w:name="_Toc10451005"/>
    </w:p>
    <w:p>
      <w:pPr>
        <w:pStyle w:val="17"/>
        <w:widowControl w:val="0"/>
        <w:overflowPunct w:val="0"/>
        <w:autoSpaceDE w:val="0"/>
        <w:autoSpaceDN w:val="0"/>
        <w:adjustRightInd w:val="0"/>
        <w:snapToGrid w:val="0"/>
        <w:spacing w:line="540" w:lineRule="exact"/>
        <w:ind w:firstLine="640"/>
        <w:jc w:val="center"/>
        <w:rPr>
          <w:rFonts w:hint="eastAsia" w:cs="Times New Roman"/>
          <w:color w:val="auto"/>
          <w:kern w:val="0"/>
          <w:sz w:val="28"/>
          <w:szCs w:val="28"/>
          <w:lang w:val="en-US" w:eastAsia="zh-CN" w:bidi="ar-SA"/>
        </w:rPr>
      </w:pPr>
    </w:p>
    <w:p>
      <w:pPr>
        <w:pStyle w:val="17"/>
        <w:widowControl w:val="0"/>
        <w:overflowPunct w:val="0"/>
        <w:autoSpaceDE w:val="0"/>
        <w:autoSpaceDN w:val="0"/>
        <w:adjustRightInd w:val="0"/>
        <w:snapToGrid w:val="0"/>
        <w:spacing w:line="540" w:lineRule="exact"/>
        <w:ind w:firstLine="640"/>
        <w:jc w:val="center"/>
        <w:rPr>
          <w:rFonts w:hint="eastAsia" w:cs="Times New Roman"/>
          <w:color w:val="auto"/>
          <w:kern w:val="0"/>
          <w:sz w:val="28"/>
          <w:szCs w:val="28"/>
          <w:lang w:val="en-US" w:eastAsia="zh-CN" w:bidi="ar-SA"/>
        </w:rPr>
      </w:pPr>
    </w:p>
    <w:p>
      <w:pPr>
        <w:pStyle w:val="17"/>
        <w:widowControl w:val="0"/>
        <w:overflowPunct w:val="0"/>
        <w:autoSpaceDE w:val="0"/>
        <w:autoSpaceDN w:val="0"/>
        <w:adjustRightInd w:val="0"/>
        <w:snapToGrid w:val="0"/>
        <w:spacing w:line="540" w:lineRule="exact"/>
        <w:ind w:firstLine="640"/>
        <w:jc w:val="center"/>
        <w:rPr>
          <w:rFonts w:hint="eastAsia" w:cs="Times New Roman"/>
          <w:color w:val="auto"/>
          <w:kern w:val="0"/>
          <w:sz w:val="28"/>
          <w:szCs w:val="28"/>
          <w:lang w:val="en-US" w:eastAsia="zh-CN" w:bidi="ar-SA"/>
        </w:rPr>
      </w:pPr>
      <w:r>
        <w:rPr>
          <w:rFonts w:hint="eastAsia" w:cs="Times New Roman"/>
          <w:color w:val="auto"/>
          <w:kern w:val="0"/>
          <w:sz w:val="28"/>
          <w:szCs w:val="28"/>
          <w:lang w:val="en-US" w:eastAsia="zh-CN" w:bidi="ar-SA"/>
        </w:rPr>
        <w:t>表5. 绩效评价打分表</w:t>
      </w:r>
    </w:p>
    <w:tbl>
      <w:tblPr>
        <w:tblStyle w:val="15"/>
        <w:tblW w:w="8205" w:type="dxa"/>
        <w:tblInd w:w="62" w:type="dxa"/>
        <w:tblLayout w:type="fixed"/>
        <w:tblCellMar>
          <w:top w:w="15" w:type="dxa"/>
          <w:left w:w="15" w:type="dxa"/>
          <w:bottom w:w="15" w:type="dxa"/>
          <w:right w:w="15" w:type="dxa"/>
        </w:tblCellMar>
      </w:tblPr>
      <w:tblGrid>
        <w:gridCol w:w="1005"/>
        <w:gridCol w:w="1005"/>
        <w:gridCol w:w="1350"/>
        <w:gridCol w:w="1005"/>
        <w:gridCol w:w="1035"/>
        <w:gridCol w:w="1665"/>
        <w:gridCol w:w="1140"/>
      </w:tblGrid>
      <w:tr>
        <w:tblPrEx>
          <w:tblLayout w:type="fixed"/>
          <w:tblCellMar>
            <w:top w:w="15" w:type="dxa"/>
            <w:left w:w="15" w:type="dxa"/>
            <w:bottom w:w="15" w:type="dxa"/>
            <w:right w:w="15" w:type="dxa"/>
          </w:tblCellMar>
        </w:tblPrEx>
        <w:trPr>
          <w:trHeight w:val="567" w:hRule="exact"/>
        </w:trPr>
        <w:tc>
          <w:tcPr>
            <w:tcW w:w="1005" w:type="dxa"/>
            <w:tcBorders>
              <w:top w:val="single" w:color="000000" w:sz="12" w:space="0"/>
              <w:left w:val="single" w:color="000000" w:sz="12" w:space="0"/>
              <w:right w:val="single" w:color="000000" w:sz="12" w:space="0"/>
            </w:tcBorders>
            <w:shd w:val="clear" w:color="auto" w:fill="D8D8D8"/>
            <w:vAlign w:val="center"/>
          </w:tcPr>
          <w:p>
            <w:pPr>
              <w:jc w:val="center"/>
              <w:rPr>
                <w:rFonts w:ascii="Times New Roman" w:hAnsi="Times New Roman" w:eastAsia="仿宋_GB2312"/>
                <w:b/>
                <w:bCs/>
                <w:color w:val="000000"/>
                <w:sz w:val="24"/>
                <w:szCs w:val="24"/>
              </w:rPr>
            </w:pPr>
            <w:r>
              <w:rPr>
                <w:rFonts w:hint="eastAsia" w:ascii="Times New Roman" w:hAnsi="Times New Roman" w:eastAsia="仿宋_GB2312"/>
                <w:b/>
                <w:bCs/>
                <w:color w:val="000000"/>
                <w:sz w:val="24"/>
                <w:szCs w:val="24"/>
              </w:rPr>
              <w:t>一级指标</w:t>
            </w:r>
          </w:p>
        </w:tc>
        <w:tc>
          <w:tcPr>
            <w:tcW w:w="1005" w:type="dxa"/>
            <w:tcBorders>
              <w:top w:val="single" w:color="000000" w:sz="12" w:space="0"/>
              <w:right w:val="single" w:color="000000" w:sz="12" w:space="0"/>
            </w:tcBorders>
            <w:shd w:val="clear" w:color="auto" w:fill="D8D8D8"/>
            <w:vAlign w:val="center"/>
          </w:tcPr>
          <w:p>
            <w:pPr>
              <w:jc w:val="center"/>
              <w:rPr>
                <w:rFonts w:ascii="Times New Roman" w:hAnsi="Times New Roman" w:eastAsia="仿宋_GB2312"/>
                <w:b/>
                <w:bCs/>
                <w:color w:val="000000"/>
                <w:sz w:val="24"/>
                <w:szCs w:val="24"/>
              </w:rPr>
            </w:pPr>
            <w:r>
              <w:rPr>
                <w:rFonts w:hint="eastAsia" w:ascii="Times New Roman" w:hAnsi="Times New Roman" w:eastAsia="仿宋_GB2312"/>
                <w:b/>
                <w:bCs/>
                <w:color w:val="000000"/>
                <w:sz w:val="24"/>
                <w:szCs w:val="24"/>
              </w:rPr>
              <w:t>二级指标</w:t>
            </w:r>
          </w:p>
        </w:tc>
        <w:tc>
          <w:tcPr>
            <w:tcW w:w="1350" w:type="dxa"/>
            <w:tcBorders>
              <w:top w:val="single" w:color="000000" w:sz="12" w:space="0"/>
              <w:right w:val="single" w:color="000000" w:sz="12" w:space="0"/>
            </w:tcBorders>
            <w:shd w:val="clear" w:color="auto" w:fill="D8D8D8"/>
            <w:vAlign w:val="center"/>
          </w:tcPr>
          <w:p>
            <w:pPr>
              <w:jc w:val="center"/>
              <w:rPr>
                <w:rFonts w:ascii="Times New Roman" w:hAnsi="Times New Roman" w:eastAsia="仿宋_GB2312"/>
                <w:b/>
                <w:bCs/>
                <w:color w:val="000000"/>
                <w:sz w:val="24"/>
                <w:szCs w:val="24"/>
              </w:rPr>
            </w:pPr>
            <w:r>
              <w:rPr>
                <w:rFonts w:hint="eastAsia" w:ascii="Times New Roman" w:hAnsi="Times New Roman" w:eastAsia="仿宋_GB2312"/>
                <w:b/>
                <w:bCs/>
                <w:color w:val="000000"/>
                <w:sz w:val="24"/>
                <w:szCs w:val="24"/>
              </w:rPr>
              <w:t>三级指标</w:t>
            </w:r>
          </w:p>
        </w:tc>
        <w:tc>
          <w:tcPr>
            <w:tcW w:w="1005" w:type="dxa"/>
            <w:tcBorders>
              <w:top w:val="single" w:color="000000" w:sz="12" w:space="0"/>
              <w:right w:val="single" w:color="000000" w:sz="12" w:space="0"/>
            </w:tcBorders>
            <w:shd w:val="clear" w:color="auto" w:fill="D8D8D8"/>
            <w:vAlign w:val="center"/>
          </w:tcPr>
          <w:p>
            <w:pPr>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权重</w:t>
            </w:r>
          </w:p>
        </w:tc>
        <w:tc>
          <w:tcPr>
            <w:tcW w:w="1035" w:type="dxa"/>
            <w:tcBorders>
              <w:top w:val="single" w:color="000000" w:sz="12" w:space="0"/>
              <w:right w:val="single" w:color="000000" w:sz="12" w:space="0"/>
            </w:tcBorders>
            <w:shd w:val="clear" w:color="auto" w:fill="D8D8D8"/>
            <w:vAlign w:val="center"/>
          </w:tcPr>
          <w:p>
            <w:pPr>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标杆值</w:t>
            </w:r>
          </w:p>
        </w:tc>
        <w:tc>
          <w:tcPr>
            <w:tcW w:w="1665" w:type="dxa"/>
            <w:tcBorders>
              <w:top w:val="single" w:color="000000" w:sz="12" w:space="0"/>
              <w:right w:val="single" w:color="000000" w:sz="12" w:space="0"/>
            </w:tcBorders>
            <w:shd w:val="clear" w:color="auto" w:fill="D8D8D8"/>
            <w:vAlign w:val="center"/>
          </w:tcPr>
          <w:p>
            <w:pPr>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业绩值</w:t>
            </w:r>
          </w:p>
        </w:tc>
        <w:tc>
          <w:tcPr>
            <w:tcW w:w="1140" w:type="dxa"/>
            <w:tcBorders>
              <w:top w:val="single" w:color="000000" w:sz="12" w:space="0"/>
              <w:right w:val="single" w:color="000000" w:sz="12" w:space="0"/>
            </w:tcBorders>
            <w:shd w:val="clear" w:color="auto" w:fill="D8D8D8"/>
            <w:vAlign w:val="center"/>
          </w:tcPr>
          <w:p>
            <w:pPr>
              <w:jc w:val="center"/>
              <w:rPr>
                <w:rFonts w:ascii="Times New Roman" w:hAnsi="Times New Roman" w:eastAsia="仿宋_GB2312"/>
                <w:b/>
                <w:bCs/>
                <w:color w:val="000000"/>
                <w:sz w:val="24"/>
                <w:szCs w:val="24"/>
              </w:rPr>
            </w:pPr>
            <w:r>
              <w:rPr>
                <w:rFonts w:ascii="Times New Roman" w:hAnsi="Times New Roman" w:eastAsia="仿宋_GB2312"/>
                <w:b/>
                <w:bCs/>
                <w:color w:val="000000"/>
                <w:sz w:val="24"/>
                <w:szCs w:val="24"/>
              </w:rPr>
              <w:t>实际得分</w:t>
            </w:r>
          </w:p>
        </w:tc>
      </w:tr>
      <w:tr>
        <w:tblPrEx>
          <w:tblLayout w:type="fixed"/>
          <w:tblCellMar>
            <w:top w:w="15" w:type="dxa"/>
            <w:left w:w="15" w:type="dxa"/>
            <w:bottom w:w="15" w:type="dxa"/>
            <w:right w:w="15" w:type="dxa"/>
          </w:tblCellMar>
        </w:tblPrEx>
        <w:trPr>
          <w:trHeight w:val="312" w:hRule="atLeast"/>
        </w:trPr>
        <w:tc>
          <w:tcPr>
            <w:tcW w:w="100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决策　（20分）　</w:t>
            </w:r>
          </w:p>
        </w:tc>
        <w:tc>
          <w:tcPr>
            <w:tcW w:w="1005"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lang w:val="en-US" w:eastAsia="zh-CN"/>
              </w:rPr>
              <w:t>项目</w:t>
            </w:r>
            <w:r>
              <w:rPr>
                <w:rFonts w:hint="eastAsia" w:ascii="Times New Roman" w:hAnsi="Times New Roman" w:eastAsia="仿宋_GB2312"/>
                <w:color w:val="000000"/>
                <w:sz w:val="24"/>
                <w:szCs w:val="24"/>
              </w:rPr>
              <w:t>目标（</w:t>
            </w:r>
            <w:r>
              <w:rPr>
                <w:rFonts w:hint="eastAsia" w:ascii="Times New Roman" w:hAnsi="Times New Roman" w:eastAsia="仿宋_GB2312"/>
                <w:color w:val="000000"/>
                <w:sz w:val="24"/>
                <w:szCs w:val="24"/>
                <w:lang w:val="en-US" w:eastAsia="zh-CN"/>
              </w:rPr>
              <w:t>8</w:t>
            </w:r>
            <w:r>
              <w:rPr>
                <w:rFonts w:hint="eastAsia" w:ascii="Times New Roman" w:hAnsi="Times New Roman" w:eastAsia="仿宋_GB2312"/>
                <w:color w:val="000000"/>
                <w:sz w:val="24"/>
                <w:szCs w:val="24"/>
              </w:rPr>
              <w:t>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绩效目标</w:t>
            </w:r>
            <w:r>
              <w:rPr>
                <w:rFonts w:hint="eastAsia" w:ascii="Times New Roman" w:hAnsi="Times New Roman" w:eastAsia="仿宋_GB2312"/>
                <w:color w:val="000000"/>
                <w:sz w:val="24"/>
                <w:szCs w:val="24"/>
              </w:rPr>
              <w:br w:type="textWrapping"/>
            </w:r>
            <w:r>
              <w:rPr>
                <w:rFonts w:hint="eastAsia" w:ascii="Times New Roman" w:hAnsi="Times New Roman" w:eastAsia="仿宋_GB2312"/>
                <w:color w:val="000000"/>
                <w:sz w:val="24"/>
                <w:szCs w:val="24"/>
              </w:rPr>
              <w:t>合理性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合理</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合理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4</w:t>
            </w:r>
          </w:p>
        </w:tc>
      </w:tr>
      <w:tr>
        <w:tblPrEx>
          <w:tblLayout w:type="fixed"/>
          <w:tblCellMar>
            <w:top w:w="15" w:type="dxa"/>
            <w:left w:w="15" w:type="dxa"/>
            <w:bottom w:w="15" w:type="dxa"/>
            <w:right w:w="15" w:type="dxa"/>
          </w:tblCellMar>
        </w:tblPrEx>
        <w:trPr>
          <w:trHeight w:val="312" w:hRule="atLeast"/>
        </w:trPr>
        <w:tc>
          <w:tcPr>
            <w:tcW w:w="1005" w:type="dxa"/>
            <w:vMerge w:val="continue"/>
            <w:tcBorders>
              <w:left w:val="single" w:color="000000" w:sz="4" w:space="0"/>
              <w:right w:val="single" w:color="000000" w:sz="4" w:space="0"/>
            </w:tcBorders>
            <w:shd w:val="clear" w:color="auto" w:fill="FFFFFF"/>
            <w:vAlign w:val="center"/>
          </w:tcPr>
          <w:p>
            <w:pPr>
              <w:jc w:val="center"/>
              <w:rPr>
                <w:rFonts w:hint="eastAsia" w:ascii="Times New Roman" w:hAnsi="Times New Roman" w:eastAsia="仿宋_GB2312"/>
                <w:color w:val="000000"/>
                <w:sz w:val="24"/>
                <w:szCs w:val="24"/>
              </w:rPr>
            </w:pPr>
          </w:p>
        </w:tc>
        <w:tc>
          <w:tcPr>
            <w:tcW w:w="100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Times New Roman" w:hAnsi="Times New Roman" w:eastAsia="仿宋_GB2312"/>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绩效指标</w:t>
            </w:r>
            <w:r>
              <w:rPr>
                <w:rFonts w:hint="eastAsia" w:ascii="Times New Roman" w:hAnsi="Times New Roman" w:eastAsia="仿宋_GB2312"/>
                <w:color w:val="000000"/>
                <w:sz w:val="24"/>
                <w:szCs w:val="24"/>
              </w:rPr>
              <w:br w:type="textWrapping"/>
            </w:r>
            <w:r>
              <w:rPr>
                <w:rFonts w:hint="eastAsia" w:ascii="Times New Roman" w:hAnsi="Times New Roman" w:eastAsia="仿宋_GB2312"/>
                <w:color w:val="000000"/>
                <w:sz w:val="24"/>
                <w:szCs w:val="24"/>
              </w:rPr>
              <w:t>明确性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明确</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明确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4</w:t>
            </w:r>
          </w:p>
        </w:tc>
      </w:tr>
      <w:tr>
        <w:tblPrEx>
          <w:tblLayout w:type="fixed"/>
          <w:tblCellMar>
            <w:top w:w="15" w:type="dxa"/>
            <w:left w:w="15" w:type="dxa"/>
            <w:bottom w:w="15" w:type="dxa"/>
            <w:right w:w="15" w:type="dxa"/>
          </w:tblCellMar>
        </w:tblPrEx>
        <w:trPr>
          <w:trHeight w:val="312" w:hRule="atLeast"/>
        </w:trPr>
        <w:tc>
          <w:tcPr>
            <w:tcW w:w="1005" w:type="dxa"/>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项目立项（</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分）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立项依据</w:t>
            </w:r>
            <w:r>
              <w:rPr>
                <w:rFonts w:hint="eastAsia" w:ascii="Times New Roman" w:hAnsi="Times New Roman" w:eastAsia="仿宋_GB2312"/>
                <w:color w:val="000000"/>
                <w:sz w:val="24"/>
                <w:szCs w:val="24"/>
              </w:rPr>
              <w:br w:type="textWrapping"/>
            </w:r>
            <w:r>
              <w:rPr>
                <w:rFonts w:hint="eastAsia" w:ascii="Times New Roman" w:hAnsi="Times New Roman" w:eastAsia="仿宋_GB2312"/>
                <w:color w:val="000000"/>
                <w:sz w:val="24"/>
                <w:szCs w:val="24"/>
              </w:rPr>
              <w:t>充分性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充分</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充分</w:t>
            </w:r>
          </w:p>
          <w:p>
            <w:pPr>
              <w:jc w:val="center"/>
              <w:rPr>
                <w:rFonts w:ascii="Times New Roman" w:hAnsi="Times New Roman" w:eastAsia="仿宋_GB2312"/>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6</w:t>
            </w:r>
          </w:p>
        </w:tc>
      </w:tr>
      <w:tr>
        <w:tblPrEx>
          <w:tblLayout w:type="fixed"/>
          <w:tblCellMar>
            <w:top w:w="15" w:type="dxa"/>
            <w:left w:w="15" w:type="dxa"/>
            <w:bottom w:w="15" w:type="dxa"/>
            <w:right w:w="15" w:type="dxa"/>
          </w:tblCellMar>
        </w:tblPrEx>
        <w:trPr>
          <w:trHeight w:val="312" w:hRule="atLeast"/>
        </w:trPr>
        <w:tc>
          <w:tcPr>
            <w:tcW w:w="1005" w:type="dxa"/>
            <w:vMerge w:val="continue"/>
            <w:tcBorders>
              <w:left w:val="single" w:color="000000" w:sz="4" w:space="0"/>
              <w:bottom w:val="single" w:color="auto"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立项程序</w:t>
            </w:r>
            <w:r>
              <w:rPr>
                <w:rFonts w:hint="eastAsia" w:ascii="Times New Roman" w:hAnsi="Times New Roman" w:eastAsia="仿宋_GB2312"/>
                <w:color w:val="000000"/>
                <w:sz w:val="24"/>
                <w:szCs w:val="24"/>
              </w:rPr>
              <w:br w:type="textWrapping"/>
            </w:r>
            <w:r>
              <w:rPr>
                <w:rFonts w:hint="eastAsia" w:ascii="Times New Roman" w:hAnsi="Times New Roman" w:eastAsia="仿宋_GB2312"/>
                <w:color w:val="000000"/>
                <w:sz w:val="24"/>
                <w:szCs w:val="24"/>
              </w:rPr>
              <w:t>规范性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规范</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规范</w:t>
            </w:r>
          </w:p>
          <w:p>
            <w:pPr>
              <w:widowControl/>
              <w:jc w:val="center"/>
              <w:textAlignment w:val="center"/>
              <w:rPr>
                <w:rFonts w:ascii="Times New Roman" w:hAnsi="Times New Roman" w:eastAsia="仿宋_GB2312"/>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6</w:t>
            </w:r>
          </w:p>
        </w:tc>
      </w:tr>
      <w:tr>
        <w:tblPrEx>
          <w:tblLayout w:type="fixed"/>
        </w:tblPrEx>
        <w:trPr>
          <w:trHeight w:val="312" w:hRule="atLeast"/>
        </w:trPr>
        <w:tc>
          <w:tcPr>
            <w:tcW w:w="1005" w:type="dxa"/>
            <w:vMerge w:val="restart"/>
            <w:tcBorders>
              <w:top w:val="single" w:color="auto" w:sz="4" w:space="0"/>
              <w:left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过程（2</w:t>
            </w:r>
            <w:r>
              <w:rPr>
                <w:rFonts w:hint="eastAsia" w:ascii="Times New Roman" w:hAnsi="Times New Roman" w:eastAsia="仿宋_GB2312"/>
                <w:color w:val="000000"/>
                <w:sz w:val="24"/>
                <w:szCs w:val="24"/>
                <w:lang w:val="en-US" w:eastAsia="zh-CN"/>
              </w:rPr>
              <w:t>5</w:t>
            </w:r>
            <w:r>
              <w:rPr>
                <w:rFonts w:hint="eastAsia" w:ascii="Times New Roman" w:hAnsi="Times New Roman" w:eastAsia="仿宋_GB2312"/>
                <w:color w:val="000000"/>
                <w:sz w:val="24"/>
                <w:szCs w:val="24"/>
              </w:rPr>
              <w:t>分）　</w:t>
            </w:r>
          </w:p>
        </w:tc>
        <w:tc>
          <w:tcPr>
            <w:tcW w:w="1005" w:type="dxa"/>
            <w:vMerge w:val="restart"/>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资金投入（</w:t>
            </w:r>
            <w:r>
              <w:rPr>
                <w:rFonts w:hint="eastAsia" w:ascii="Times New Roman" w:hAnsi="Times New Roman" w:eastAsia="仿宋_GB2312"/>
                <w:color w:val="000000"/>
                <w:sz w:val="24"/>
                <w:szCs w:val="24"/>
                <w:lang w:val="en-US" w:eastAsia="zh-CN"/>
              </w:rPr>
              <w:t>5</w:t>
            </w:r>
            <w:r>
              <w:rPr>
                <w:rFonts w:hint="eastAsia" w:ascii="Times New Roman" w:hAnsi="Times New Roman" w:eastAsia="仿宋_GB2312"/>
                <w:color w:val="000000"/>
                <w:sz w:val="24"/>
                <w:szCs w:val="24"/>
              </w:rPr>
              <w:t>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预算编制</w:t>
            </w:r>
            <w:r>
              <w:rPr>
                <w:rFonts w:hint="eastAsia" w:ascii="Times New Roman" w:hAnsi="Times New Roman" w:eastAsia="仿宋_GB2312"/>
                <w:color w:val="000000"/>
                <w:sz w:val="24"/>
                <w:szCs w:val="24"/>
              </w:rPr>
              <w:br w:type="textWrapping"/>
            </w:r>
            <w:r>
              <w:rPr>
                <w:rFonts w:hint="eastAsia" w:ascii="Times New Roman" w:hAnsi="Times New Roman" w:eastAsia="仿宋_GB2312"/>
                <w:color w:val="000000"/>
                <w:sz w:val="24"/>
                <w:szCs w:val="24"/>
              </w:rPr>
              <w:t>科学性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科学</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科学</w:t>
            </w:r>
          </w:p>
          <w:p>
            <w:pPr>
              <w:widowControl/>
              <w:jc w:val="center"/>
              <w:textAlignment w:val="center"/>
              <w:rPr>
                <w:rFonts w:ascii="Times New Roman" w:hAnsi="Times New Roman" w:eastAsia="仿宋_GB2312"/>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w:t>
            </w:r>
          </w:p>
        </w:tc>
      </w:tr>
      <w:tr>
        <w:tblPrEx>
          <w:tblLayout w:type="fixed"/>
          <w:tblCellMar>
            <w:top w:w="15" w:type="dxa"/>
            <w:left w:w="15" w:type="dxa"/>
            <w:bottom w:w="15" w:type="dxa"/>
            <w:right w:w="15" w:type="dxa"/>
          </w:tblCellMar>
        </w:tblPrEx>
        <w:trPr>
          <w:trHeight w:val="312" w:hRule="atLeast"/>
        </w:trPr>
        <w:tc>
          <w:tcPr>
            <w:tcW w:w="1005" w:type="dxa"/>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资金分配</w:t>
            </w:r>
            <w:r>
              <w:rPr>
                <w:rFonts w:hint="eastAsia" w:ascii="Times New Roman" w:hAnsi="Times New Roman" w:eastAsia="仿宋_GB2312"/>
                <w:color w:val="000000"/>
                <w:sz w:val="24"/>
                <w:szCs w:val="24"/>
              </w:rPr>
              <w:br w:type="textWrapping"/>
            </w:r>
            <w:r>
              <w:rPr>
                <w:rFonts w:hint="eastAsia" w:ascii="Times New Roman" w:hAnsi="Times New Roman" w:eastAsia="仿宋_GB2312"/>
                <w:color w:val="000000"/>
                <w:sz w:val="24"/>
                <w:szCs w:val="24"/>
              </w:rPr>
              <w:t>合理性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合理</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合理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1.5</w:t>
            </w:r>
          </w:p>
        </w:tc>
      </w:tr>
      <w:tr>
        <w:tblPrEx>
          <w:tblLayout w:type="fixed"/>
          <w:tblCellMar>
            <w:top w:w="15" w:type="dxa"/>
            <w:left w:w="15" w:type="dxa"/>
            <w:bottom w:w="15" w:type="dxa"/>
            <w:right w:w="15" w:type="dxa"/>
          </w:tblCellMar>
        </w:tblPrEx>
        <w:trPr>
          <w:trHeight w:val="556" w:hRule="atLeast"/>
        </w:trPr>
        <w:tc>
          <w:tcPr>
            <w:tcW w:w="1005" w:type="dxa"/>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资金管理（10分）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资金到位率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kern w:val="2"/>
                <w:sz w:val="24"/>
                <w:szCs w:val="24"/>
                <w:lang w:val="en-US" w:eastAsia="zh-CN" w:bidi="ar-SA"/>
              </w:rPr>
              <w:t>6</w:t>
            </w:r>
          </w:p>
        </w:tc>
      </w:tr>
      <w:tr>
        <w:tblPrEx>
          <w:tblLayout w:type="fixed"/>
          <w:tblCellMar>
            <w:top w:w="15" w:type="dxa"/>
            <w:left w:w="15" w:type="dxa"/>
            <w:bottom w:w="15" w:type="dxa"/>
            <w:right w:w="15" w:type="dxa"/>
          </w:tblCellMar>
        </w:tblPrEx>
        <w:trPr>
          <w:trHeight w:val="616" w:hRule="atLeast"/>
        </w:trPr>
        <w:tc>
          <w:tcPr>
            <w:tcW w:w="1005" w:type="dxa"/>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预算执行率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kern w:val="2"/>
                <w:sz w:val="24"/>
                <w:szCs w:val="24"/>
                <w:lang w:val="en-US" w:eastAsia="zh-CN" w:bidi="ar-SA"/>
              </w:rPr>
              <w:t>3</w:t>
            </w:r>
          </w:p>
        </w:tc>
      </w:tr>
      <w:tr>
        <w:tblPrEx>
          <w:tblLayout w:type="fixed"/>
          <w:tblCellMar>
            <w:top w:w="15" w:type="dxa"/>
            <w:left w:w="15" w:type="dxa"/>
            <w:bottom w:w="15" w:type="dxa"/>
            <w:right w:w="15" w:type="dxa"/>
          </w:tblCellMar>
        </w:tblPrEx>
        <w:trPr>
          <w:trHeight w:val="312" w:hRule="atLeast"/>
        </w:trPr>
        <w:tc>
          <w:tcPr>
            <w:tcW w:w="1005" w:type="dxa"/>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资金使用</w:t>
            </w:r>
            <w:r>
              <w:rPr>
                <w:rFonts w:hint="eastAsia" w:ascii="Times New Roman" w:hAnsi="Times New Roman" w:eastAsia="仿宋_GB2312"/>
                <w:color w:val="000000"/>
                <w:sz w:val="24"/>
                <w:szCs w:val="24"/>
              </w:rPr>
              <w:br w:type="textWrapping"/>
            </w:r>
            <w:r>
              <w:rPr>
                <w:rFonts w:hint="eastAsia" w:ascii="Times New Roman" w:hAnsi="Times New Roman" w:eastAsia="仿宋_GB2312"/>
                <w:color w:val="000000"/>
                <w:sz w:val="24"/>
                <w:szCs w:val="24"/>
              </w:rPr>
              <w:t>合规性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合规</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合规</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w:t>
            </w:r>
          </w:p>
        </w:tc>
      </w:tr>
      <w:tr>
        <w:tblPrEx>
          <w:tblLayout w:type="fixed"/>
          <w:tblCellMar>
            <w:top w:w="15" w:type="dxa"/>
            <w:left w:w="15" w:type="dxa"/>
            <w:bottom w:w="15" w:type="dxa"/>
            <w:right w:w="15" w:type="dxa"/>
          </w:tblCellMar>
        </w:tblPrEx>
        <w:trPr>
          <w:trHeight w:val="432" w:hRule="atLeast"/>
        </w:trPr>
        <w:tc>
          <w:tcPr>
            <w:tcW w:w="1005" w:type="dxa"/>
            <w:vMerge w:val="continue"/>
            <w:tcBorders>
              <w:left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组织实施（10分）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组织机构健全性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健全</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健全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5</w:t>
            </w:r>
          </w:p>
        </w:tc>
      </w:tr>
      <w:tr>
        <w:tblPrEx>
          <w:tblLayout w:type="fixed"/>
          <w:tblCellMar>
            <w:top w:w="15" w:type="dxa"/>
            <w:left w:w="15" w:type="dxa"/>
            <w:bottom w:w="15" w:type="dxa"/>
            <w:right w:w="15" w:type="dxa"/>
          </w:tblCellMar>
        </w:tblPrEx>
        <w:trPr>
          <w:trHeight w:val="312" w:hRule="atLeast"/>
        </w:trPr>
        <w:tc>
          <w:tcPr>
            <w:tcW w:w="1005" w:type="dxa"/>
            <w:vMerge w:val="continue"/>
            <w:tcBorders>
              <w:left w:val="single" w:color="000000" w:sz="4" w:space="0"/>
              <w:bottom w:val="single" w:color="auto"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管理制度</w:t>
            </w:r>
            <w:r>
              <w:rPr>
                <w:rFonts w:hint="eastAsia" w:ascii="Times New Roman" w:hAnsi="Times New Roman" w:eastAsia="仿宋_GB2312"/>
                <w:color w:val="000000"/>
                <w:sz w:val="24"/>
                <w:szCs w:val="24"/>
              </w:rPr>
              <w:br w:type="textWrapping"/>
            </w:r>
            <w:r>
              <w:rPr>
                <w:rFonts w:hint="eastAsia" w:ascii="Times New Roman" w:hAnsi="Times New Roman" w:eastAsia="仿宋_GB2312"/>
                <w:color w:val="000000"/>
                <w:sz w:val="24"/>
                <w:szCs w:val="24"/>
              </w:rPr>
              <w:t>健全性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有效</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有效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w:t>
            </w:r>
          </w:p>
        </w:tc>
      </w:tr>
      <w:tr>
        <w:tblPrEx>
          <w:tblLayout w:type="fixed"/>
          <w:tblCellMar>
            <w:top w:w="15" w:type="dxa"/>
            <w:left w:w="15" w:type="dxa"/>
            <w:bottom w:w="15" w:type="dxa"/>
            <w:right w:w="15" w:type="dxa"/>
          </w:tblCellMar>
        </w:tblPrEx>
        <w:trPr>
          <w:trHeight w:val="810" w:hRule="atLeast"/>
        </w:trPr>
        <w:tc>
          <w:tcPr>
            <w:tcW w:w="100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产出（30分）</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产出数量（</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实际完成率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kern w:val="2"/>
                <w:sz w:val="24"/>
                <w:szCs w:val="24"/>
                <w:lang w:val="en-US" w:eastAsia="zh-CN" w:bidi="ar-SA"/>
              </w:rPr>
              <w:t>12</w:t>
            </w:r>
          </w:p>
        </w:tc>
      </w:tr>
      <w:tr>
        <w:tblPrEx>
          <w:tblLayout w:type="fixed"/>
          <w:tblCellMar>
            <w:top w:w="15" w:type="dxa"/>
            <w:left w:w="15" w:type="dxa"/>
            <w:bottom w:w="15" w:type="dxa"/>
            <w:right w:w="15" w:type="dxa"/>
          </w:tblCellMar>
        </w:tblPrEx>
        <w:trPr>
          <w:trHeight w:val="810" w:hRule="atLeast"/>
        </w:trPr>
        <w:tc>
          <w:tcPr>
            <w:tcW w:w="100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产出质量（</w:t>
            </w:r>
            <w:r>
              <w:rPr>
                <w:rFonts w:hint="eastAsia" w:ascii="Times New Roman" w:hAnsi="Times New Roman" w:eastAsia="仿宋_GB2312"/>
                <w:color w:val="000000"/>
                <w:sz w:val="24"/>
                <w:szCs w:val="24"/>
                <w:lang w:val="en-US" w:eastAsia="zh-CN"/>
              </w:rPr>
              <w:t>7</w:t>
            </w:r>
            <w:r>
              <w:rPr>
                <w:rFonts w:hint="eastAsia" w:ascii="Times New Roman" w:hAnsi="Times New Roman" w:eastAsia="仿宋_GB2312"/>
                <w:color w:val="000000"/>
                <w:sz w:val="24"/>
                <w:szCs w:val="24"/>
              </w:rPr>
              <w:t>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质量达标率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kern w:val="2"/>
                <w:sz w:val="24"/>
                <w:szCs w:val="24"/>
                <w:lang w:val="en-US" w:eastAsia="zh-CN" w:bidi="ar-SA"/>
              </w:rPr>
              <w:t>7</w:t>
            </w:r>
          </w:p>
        </w:tc>
      </w:tr>
      <w:tr>
        <w:tblPrEx>
          <w:tblLayout w:type="fixed"/>
          <w:tblCellMar>
            <w:top w:w="15" w:type="dxa"/>
            <w:left w:w="15" w:type="dxa"/>
            <w:bottom w:w="15" w:type="dxa"/>
            <w:right w:w="15" w:type="dxa"/>
          </w:tblCellMar>
        </w:tblPrEx>
        <w:trPr>
          <w:trHeight w:val="810" w:hRule="atLeast"/>
        </w:trPr>
        <w:tc>
          <w:tcPr>
            <w:tcW w:w="100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产出时效（7分）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完成及时性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及时</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及时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7</w:t>
            </w:r>
          </w:p>
        </w:tc>
      </w:tr>
      <w:tr>
        <w:tblPrEx>
          <w:tblLayout w:type="fixed"/>
          <w:tblCellMar>
            <w:top w:w="15" w:type="dxa"/>
            <w:left w:w="15" w:type="dxa"/>
            <w:bottom w:w="15" w:type="dxa"/>
            <w:right w:w="15" w:type="dxa"/>
          </w:tblCellMar>
        </w:tblPrEx>
        <w:trPr>
          <w:trHeight w:val="810" w:hRule="atLeast"/>
        </w:trPr>
        <w:tc>
          <w:tcPr>
            <w:tcW w:w="100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产出成本（</w:t>
            </w:r>
            <w:r>
              <w:rPr>
                <w:rFonts w:hint="eastAsia" w:ascii="Times New Roman" w:hAnsi="Times New Roman" w:eastAsia="仿宋_GB2312"/>
                <w:color w:val="000000"/>
                <w:sz w:val="24"/>
                <w:szCs w:val="24"/>
                <w:lang w:val="en-US" w:eastAsia="zh-CN"/>
              </w:rPr>
              <w:t>4</w:t>
            </w:r>
            <w:r>
              <w:rPr>
                <w:rFonts w:hint="eastAsia" w:ascii="Times New Roman" w:hAnsi="Times New Roman" w:eastAsia="仿宋_GB2312"/>
                <w:color w:val="000000"/>
                <w:sz w:val="24"/>
                <w:szCs w:val="24"/>
              </w:rPr>
              <w:t>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成本</w:t>
            </w:r>
            <w:r>
              <w:rPr>
                <w:rFonts w:hint="eastAsia" w:ascii="Times New Roman" w:hAnsi="Times New Roman" w:eastAsia="仿宋_GB2312"/>
                <w:color w:val="000000"/>
                <w:sz w:val="24"/>
                <w:szCs w:val="24"/>
                <w:lang w:val="en-US" w:eastAsia="zh-CN"/>
              </w:rPr>
              <w:t>控制</w:t>
            </w:r>
            <w:r>
              <w:rPr>
                <w:rFonts w:hint="eastAsia" w:ascii="Times New Roman" w:hAnsi="Times New Roman" w:eastAsia="仿宋_GB2312"/>
                <w:color w:val="000000"/>
                <w:sz w:val="24"/>
                <w:szCs w:val="24"/>
              </w:rPr>
              <w:t>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100%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lang w:val="en-US" w:eastAsia="zh-CN"/>
              </w:rPr>
              <w:t>4</w:t>
            </w:r>
          </w:p>
        </w:tc>
      </w:tr>
      <w:tr>
        <w:tblPrEx>
          <w:tblLayout w:type="fixed"/>
        </w:tblPrEx>
        <w:trPr>
          <w:trHeight w:val="540" w:hRule="atLeast"/>
        </w:trPr>
        <w:tc>
          <w:tcPr>
            <w:tcW w:w="1005" w:type="dxa"/>
            <w:vMerge w:val="restart"/>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效益（</w:t>
            </w:r>
            <w:r>
              <w:rPr>
                <w:rFonts w:hint="eastAsia" w:ascii="Times New Roman" w:hAnsi="Times New Roman" w:eastAsia="仿宋_GB2312"/>
                <w:color w:val="000000"/>
                <w:sz w:val="24"/>
                <w:szCs w:val="24"/>
                <w:lang w:val="en-US" w:eastAsia="zh-CN"/>
              </w:rPr>
              <w:t>25</w:t>
            </w:r>
            <w:r>
              <w:rPr>
                <w:rFonts w:hint="eastAsia" w:ascii="Times New Roman" w:hAnsi="Times New Roman" w:eastAsia="仿宋_GB2312"/>
                <w:color w:val="000000"/>
                <w:sz w:val="24"/>
                <w:szCs w:val="24"/>
              </w:rPr>
              <w:t>分）　</w:t>
            </w: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项目效益　（1</w:t>
            </w:r>
            <w:r>
              <w:rPr>
                <w:rFonts w:hint="eastAsia" w:ascii="Times New Roman" w:hAnsi="Times New Roman" w:eastAsia="仿宋_GB2312"/>
                <w:color w:val="000000"/>
                <w:sz w:val="24"/>
                <w:szCs w:val="24"/>
                <w:lang w:val="en-US" w:eastAsia="zh-CN"/>
              </w:rPr>
              <w:t>6</w:t>
            </w:r>
            <w:r>
              <w:rPr>
                <w:rFonts w:hint="eastAsia" w:ascii="Times New Roman" w:hAnsi="Times New Roman" w:eastAsia="仿宋_GB2312"/>
                <w:color w:val="000000"/>
                <w:sz w:val="24"/>
                <w:szCs w:val="24"/>
              </w:rPr>
              <w:t>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实施效益</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rPr>
              <w:t>1</w:t>
            </w:r>
            <w:r>
              <w:rPr>
                <w:rFonts w:hint="eastAsia" w:ascii="Times New Roman" w:hAnsi="Times New Roman" w:eastAsia="仿宋_GB2312"/>
                <w:color w:val="000000"/>
                <w:sz w:val="24"/>
                <w:szCs w:val="24"/>
                <w:lang w:val="en-US" w:eastAsia="zh-CN"/>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有效</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rPr>
              <w:t>有效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lang w:val="en-US" w:eastAsia="zh-CN"/>
              </w:rPr>
              <w:t>13.8</w:t>
            </w:r>
          </w:p>
        </w:tc>
      </w:tr>
      <w:tr>
        <w:tblPrEx>
          <w:tblLayout w:type="fixed"/>
          <w:tblCellMar>
            <w:top w:w="15" w:type="dxa"/>
            <w:left w:w="15" w:type="dxa"/>
            <w:bottom w:w="15" w:type="dxa"/>
            <w:right w:w="15" w:type="dxa"/>
          </w:tblCellMar>
        </w:tblPrEx>
        <w:trPr>
          <w:trHeight w:val="540" w:hRule="atLeast"/>
        </w:trPr>
        <w:tc>
          <w:tcPr>
            <w:tcW w:w="1005" w:type="dxa"/>
            <w:vMerge w:val="continue"/>
            <w:tcBorders>
              <w:top w:val="single" w:color="auto" w:sz="4" w:space="0"/>
              <w:left w:val="single" w:color="000000" w:sz="4" w:space="0"/>
              <w:bottom w:val="single" w:color="auto" w:sz="4" w:space="0"/>
              <w:right w:val="single" w:color="000000" w:sz="4" w:space="0"/>
            </w:tcBorders>
            <w:shd w:val="clear" w:color="auto" w:fill="FFFFFF"/>
            <w:vAlign w:val="center"/>
          </w:tcPr>
          <w:p>
            <w:pPr>
              <w:jc w:val="center"/>
              <w:rPr>
                <w:rFonts w:ascii="Times New Roman" w:hAnsi="Times New Roman" w:eastAsia="仿宋_GB2312"/>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满意度（</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分）</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满意度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仿宋_GB2312"/>
                <w:color w:val="000000"/>
                <w:sz w:val="24"/>
                <w:szCs w:val="24"/>
                <w:lang w:eastAsia="zh-CN"/>
              </w:rPr>
            </w:pPr>
            <w:r>
              <w:rPr>
                <w:rFonts w:hint="eastAsia" w:ascii="Times New Roman" w:hAnsi="Times New Roman" w:eastAsia="仿宋_GB2312"/>
                <w:color w:val="000000"/>
                <w:sz w:val="24"/>
                <w:szCs w:val="24"/>
                <w:lang w:val="en-US" w:eastAsia="zh-CN"/>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2"/>
                <w:sz w:val="24"/>
                <w:szCs w:val="24"/>
                <w:lang w:val="en-US" w:eastAsia="zh-CN" w:bidi="ar-SA"/>
              </w:rPr>
            </w:pPr>
            <w:r>
              <w:rPr>
                <w:rFonts w:hint="eastAsia"/>
                <w:sz w:val="24"/>
                <w:szCs w:val="24"/>
              </w:rPr>
              <w:t>≥90%</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Times New Roman"/>
                <w:color w:val="000000"/>
                <w:kern w:val="2"/>
                <w:sz w:val="24"/>
                <w:szCs w:val="24"/>
                <w:lang w:val="en-US" w:eastAsia="zh-CN" w:bidi="ar-SA"/>
              </w:rPr>
            </w:pPr>
            <w:r>
              <w:rPr>
                <w:rFonts w:hint="eastAsia"/>
                <w:sz w:val="24"/>
                <w:szCs w:val="24"/>
              </w:rPr>
              <w:t>90%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olor w:val="000000"/>
                <w:sz w:val="24"/>
                <w:szCs w:val="24"/>
                <w:lang w:val="en-US" w:eastAsia="zh-CN"/>
              </w:rPr>
              <w:t>7.4</w:t>
            </w:r>
          </w:p>
        </w:tc>
      </w:tr>
    </w:tbl>
    <w:p>
      <w:pPr>
        <w:pStyle w:val="17"/>
        <w:widowControl w:val="0"/>
        <w:numPr>
          <w:ilvl w:val="0"/>
          <w:numId w:val="0"/>
        </w:numPr>
        <w:overflowPunct w:val="0"/>
        <w:autoSpaceDE w:val="0"/>
        <w:autoSpaceDN w:val="0"/>
        <w:adjustRightInd w:val="0"/>
        <w:snapToGrid w:val="0"/>
        <w:spacing w:line="540" w:lineRule="exact"/>
        <w:ind w:leftChars="0"/>
        <w:rPr>
          <w:rFonts w:hint="eastAsia" w:cs="Times New Roman"/>
          <w:color w:val="auto"/>
          <w:kern w:val="0"/>
          <w:sz w:val="28"/>
          <w:szCs w:val="28"/>
          <w:lang w:val="en-US" w:eastAsia="zh-CN" w:bidi="ar-SA"/>
        </w:rPr>
      </w:pPr>
    </w:p>
    <w:p>
      <w:pPr>
        <w:pStyle w:val="17"/>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40" w:lineRule="exact"/>
        <w:ind w:firstLine="562" w:firstLineChars="200"/>
        <w:textAlignment w:val="auto"/>
        <w:outlineLvl w:val="1"/>
        <w:rPr>
          <w:rFonts w:hint="eastAsia" w:cs="Times New Roman"/>
          <w:b/>
          <w:bCs/>
          <w:color w:val="auto"/>
          <w:kern w:val="0"/>
          <w:sz w:val="28"/>
          <w:szCs w:val="28"/>
          <w:lang w:val="en-US" w:eastAsia="zh-CN" w:bidi="ar-SA"/>
        </w:rPr>
      </w:pPr>
      <w:bookmarkStart w:id="147" w:name="_Toc21989"/>
      <w:bookmarkStart w:id="148" w:name="_Toc16969"/>
      <w:bookmarkStart w:id="149" w:name="_Toc13838"/>
      <w:bookmarkStart w:id="150" w:name="_Toc16273"/>
      <w:r>
        <w:rPr>
          <w:rFonts w:hint="eastAsia" w:cs="Times New Roman"/>
          <w:b/>
          <w:bCs/>
          <w:color w:val="auto"/>
          <w:kern w:val="0"/>
          <w:sz w:val="28"/>
          <w:szCs w:val="28"/>
          <w:lang w:val="en-US" w:eastAsia="zh-CN" w:bidi="ar-SA"/>
        </w:rPr>
        <w:t>（二）</w:t>
      </w:r>
      <w:r>
        <w:rPr>
          <w:rFonts w:hint="default" w:ascii="Calibri" w:hAnsi="Calibri" w:eastAsia="仿宋_GB2312" w:cs="Times New Roman"/>
          <w:b/>
          <w:bCs/>
          <w:color w:val="auto"/>
          <w:kern w:val="0"/>
          <w:sz w:val="28"/>
          <w:szCs w:val="28"/>
          <w:lang w:val="en-US" w:eastAsia="zh-CN" w:bidi="ar-SA"/>
        </w:rPr>
        <w:t>评分过程</w:t>
      </w:r>
      <w:r>
        <w:rPr>
          <w:rFonts w:hint="eastAsia" w:cs="Times New Roman"/>
          <w:b/>
          <w:bCs/>
          <w:color w:val="auto"/>
          <w:kern w:val="0"/>
          <w:sz w:val="28"/>
          <w:szCs w:val="28"/>
          <w:lang w:val="en-US" w:eastAsia="zh-CN" w:bidi="ar-SA"/>
        </w:rPr>
        <w:t>详见表附件2；</w:t>
      </w:r>
      <w:bookmarkEnd w:id="140"/>
      <w:bookmarkEnd w:id="141"/>
      <w:bookmarkEnd w:id="142"/>
      <w:bookmarkEnd w:id="143"/>
      <w:bookmarkEnd w:id="144"/>
      <w:bookmarkEnd w:id="145"/>
      <w:bookmarkEnd w:id="146"/>
      <w:bookmarkEnd w:id="147"/>
      <w:bookmarkEnd w:id="148"/>
      <w:bookmarkEnd w:id="149"/>
      <w:bookmarkEnd w:id="150"/>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val="en-US" w:eastAsia="zh-CN"/>
        </w:rPr>
      </w:pPr>
      <w:bookmarkStart w:id="151" w:name="_Toc27276"/>
      <w:bookmarkStart w:id="152" w:name="_Toc19460"/>
      <w:bookmarkStart w:id="153" w:name="_Toc5987"/>
      <w:bookmarkStart w:id="154" w:name="_Toc30563"/>
      <w:r>
        <w:rPr>
          <w:rFonts w:hint="eastAsia" w:ascii="仿宋" w:hAnsi="仿宋" w:eastAsia="仿宋" w:cs="仿宋"/>
          <w:b/>
          <w:bCs/>
          <w:sz w:val="30"/>
          <w:szCs w:val="30"/>
          <w:lang w:val="en-US" w:eastAsia="zh-CN"/>
        </w:rPr>
        <w:t>四、绩效评价指标分析情况</w:t>
      </w:r>
      <w:bookmarkEnd w:id="151"/>
      <w:bookmarkEnd w:id="152"/>
      <w:bookmarkEnd w:id="153"/>
      <w:bookmarkEnd w:id="154"/>
      <w:r>
        <w:rPr>
          <w:rFonts w:hint="eastAsia" w:ascii="仿宋" w:hAnsi="仿宋" w:eastAsia="仿宋" w:cs="仿宋"/>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562" w:firstLineChars="200"/>
        <w:jc w:val="both"/>
        <w:textAlignment w:val="auto"/>
        <w:outlineLvl w:val="1"/>
        <w:rPr>
          <w:rFonts w:hint="eastAsia" w:ascii="Times New Roman" w:hAnsi="Times New Roman" w:eastAsia="仿宋_GB2312"/>
          <w:b/>
          <w:bCs/>
          <w:color w:val="auto"/>
          <w:kern w:val="0"/>
          <w:sz w:val="28"/>
          <w:szCs w:val="28"/>
          <w:lang w:val="en-US" w:eastAsia="zh-CN"/>
        </w:rPr>
      </w:pPr>
      <w:bookmarkStart w:id="155" w:name="_Toc6228"/>
      <w:bookmarkStart w:id="156" w:name="_Toc4387"/>
      <w:bookmarkStart w:id="157" w:name="_Toc27849"/>
      <w:bookmarkStart w:id="158" w:name="_Toc19965"/>
      <w:r>
        <w:rPr>
          <w:rFonts w:hint="eastAsia" w:ascii="Times New Roman" w:hAnsi="Times New Roman" w:eastAsia="仿宋_GB2312"/>
          <w:b/>
          <w:bCs/>
          <w:color w:val="auto"/>
          <w:kern w:val="0"/>
          <w:sz w:val="28"/>
          <w:szCs w:val="28"/>
          <w:lang w:val="en-US" w:eastAsia="zh-CN"/>
        </w:rPr>
        <w:t>（一）项目决策情况分析</w:t>
      </w:r>
      <w:bookmarkEnd w:id="155"/>
      <w:bookmarkEnd w:id="156"/>
      <w:bookmarkEnd w:id="157"/>
      <w:bookmarkEnd w:id="158"/>
      <w:r>
        <w:rPr>
          <w:rFonts w:hint="eastAsia" w:ascii="Times New Roman" w:hAnsi="Times New Roman" w:eastAsia="仿宋_GB2312"/>
          <w:b/>
          <w:bCs/>
          <w:color w:val="auto"/>
          <w:kern w:val="0"/>
          <w:sz w:val="28"/>
          <w:szCs w:val="28"/>
          <w:lang w:val="en-US" w:eastAsia="zh-CN"/>
        </w:rPr>
        <w:t xml:space="preserve"> </w:t>
      </w:r>
    </w:p>
    <w:p>
      <w:pPr>
        <w:ind w:firstLine="640"/>
        <w:jc w:val="both"/>
        <w:outlineLvl w:val="2"/>
        <w:rPr>
          <w:rFonts w:hint="eastAsia" w:ascii="仿宋" w:hAnsi="仿宋" w:eastAsia="仿宋" w:cs="仿宋"/>
          <w:b w:val="0"/>
          <w:bCs w:val="0"/>
          <w:sz w:val="30"/>
          <w:szCs w:val="30"/>
          <w:lang w:val="en-US" w:eastAsia="zh-CN"/>
        </w:rPr>
      </w:pPr>
      <w:bookmarkStart w:id="159" w:name="_Toc21371"/>
      <w:bookmarkStart w:id="160" w:name="_Toc1611"/>
      <w:r>
        <w:rPr>
          <w:rFonts w:hint="eastAsia" w:ascii="Times New Roman" w:hAnsi="Times New Roman" w:eastAsia="仿宋_GB2312"/>
          <w:b w:val="0"/>
          <w:bCs w:val="0"/>
          <w:color w:val="auto"/>
          <w:kern w:val="0"/>
          <w:sz w:val="28"/>
          <w:szCs w:val="28"/>
          <w:lang w:val="en-US" w:eastAsia="zh-CN"/>
        </w:rPr>
        <w:t>1. 项目资金到位情况分析</w:t>
      </w:r>
      <w:bookmarkEnd w:id="159"/>
      <w:bookmarkEnd w:id="160"/>
      <w:r>
        <w:rPr>
          <w:rFonts w:hint="eastAsia" w:ascii="仿宋" w:hAnsi="仿宋" w:eastAsia="仿宋" w:cs="仿宋"/>
          <w:b w:val="0"/>
          <w:bCs w:val="0"/>
          <w:sz w:val="30"/>
          <w:szCs w:val="30"/>
          <w:lang w:val="en-US" w:eastAsia="zh-CN"/>
        </w:rPr>
        <w:t xml:space="preserve"> </w:t>
      </w:r>
    </w:p>
    <w:p>
      <w:pPr>
        <w:ind w:firstLine="640"/>
        <w:jc w:val="both"/>
        <w:rPr>
          <w:rFonts w:hint="eastAsia" w:ascii="Times New Roman" w:hAnsi="Times New Roman" w:eastAsia="仿宋_GB2312"/>
          <w:color w:val="auto"/>
          <w:kern w:val="0"/>
          <w:sz w:val="28"/>
          <w:szCs w:val="28"/>
          <w:lang w:val="en-US" w:eastAsia="zh-CN"/>
        </w:rPr>
      </w:pPr>
      <w:r>
        <w:rPr>
          <w:rFonts w:hint="eastAsia" w:ascii="Times New Roman" w:hAnsi="Times New Roman" w:eastAsia="仿宋_GB2312"/>
          <w:color w:val="auto"/>
          <w:kern w:val="0"/>
          <w:sz w:val="28"/>
          <w:szCs w:val="28"/>
          <w:lang w:val="en-US" w:eastAsia="zh-CN"/>
        </w:rPr>
        <w:t>2019 年甘肃省人民代表大会常务委员会立法专项经费 420 万元，由甘肃省财政厅足额下达到甘肃省人民代表大会常务委员会办公厅，甘肃省人民代表大会常务委员会办公厅根据2019年初立法专项工作计划内容对专项资金进行严格把控。总体而言，2019 年甘肃省人民代表大会常务委员会立法专项经费到位足额、及时，充分保障了立法专项各项工作的实施。</w:t>
      </w:r>
    </w:p>
    <w:p>
      <w:pPr>
        <w:ind w:firstLine="640"/>
        <w:jc w:val="both"/>
        <w:outlineLvl w:val="2"/>
        <w:rPr>
          <w:rFonts w:hint="eastAsia" w:ascii="Times New Roman" w:hAnsi="Times New Roman" w:eastAsia="仿宋_GB2312"/>
          <w:b w:val="0"/>
          <w:bCs w:val="0"/>
          <w:color w:val="auto"/>
          <w:kern w:val="0"/>
          <w:sz w:val="28"/>
          <w:szCs w:val="28"/>
          <w:lang w:val="en-US" w:eastAsia="zh-CN"/>
        </w:rPr>
      </w:pPr>
      <w:bookmarkStart w:id="161" w:name="_Toc8626"/>
      <w:bookmarkStart w:id="162" w:name="_Toc1929"/>
      <w:r>
        <w:rPr>
          <w:rFonts w:hint="eastAsia" w:ascii="Times New Roman" w:hAnsi="Times New Roman" w:eastAsia="仿宋_GB2312"/>
          <w:b w:val="0"/>
          <w:bCs w:val="0"/>
          <w:color w:val="auto"/>
          <w:kern w:val="0"/>
          <w:sz w:val="28"/>
          <w:szCs w:val="28"/>
          <w:lang w:val="en-US" w:eastAsia="zh-CN"/>
        </w:rPr>
        <w:t>2.项目资金使用情况分析</w:t>
      </w:r>
      <w:bookmarkEnd w:id="161"/>
      <w:bookmarkEnd w:id="162"/>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Times New Roman" w:hAnsi="Times New Roman" w:eastAsia="仿宋_GB2312"/>
          <w:color w:val="auto"/>
          <w:kern w:val="0"/>
          <w:sz w:val="28"/>
          <w:szCs w:val="28"/>
          <w:lang w:val="en-US" w:eastAsia="zh-CN"/>
        </w:rPr>
      </w:pPr>
      <w:r>
        <w:rPr>
          <w:rFonts w:hint="eastAsia" w:ascii="Times New Roman" w:hAnsi="Times New Roman" w:eastAsia="仿宋_GB2312"/>
          <w:color w:val="auto"/>
          <w:kern w:val="0"/>
          <w:sz w:val="28"/>
          <w:szCs w:val="28"/>
          <w:lang w:val="en-US" w:eastAsia="zh-CN"/>
        </w:rPr>
        <w:t>2019 年甘肃省人民代表大会常务委员会立法专项经费 420 万元，此专项经费的设立主要包括四个方面的具体工作任务经费：“陇原环保世纪行经费”、“人大司法监督工作专项经费”、“规范性文件备案审查经费”、“立法经费及法规清理专项经费”。其中：“陇原环保世纪行经费”40万元，人大司法监督工作经费40万元，规范性文件备案审查经费20万元，立法经费及法规清理经费320万元。截止2019年12月31日，该项项目资金的结余数为0，所有工作都已严格按照年初设定的既定目标顺利实施，预算资金执行率为100%。</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outlineLvl w:val="2"/>
        <w:rPr>
          <w:rFonts w:hint="eastAsia" w:ascii="Times New Roman" w:hAnsi="Times New Roman" w:eastAsia="仿宋_GB2312"/>
          <w:b w:val="0"/>
          <w:bCs w:val="0"/>
          <w:color w:val="auto"/>
          <w:kern w:val="0"/>
          <w:sz w:val="28"/>
          <w:szCs w:val="28"/>
          <w:lang w:val="en-US" w:eastAsia="zh-CN"/>
        </w:rPr>
      </w:pPr>
      <w:bookmarkStart w:id="163" w:name="_Toc10720"/>
      <w:bookmarkStart w:id="164" w:name="_Toc22590"/>
      <w:r>
        <w:rPr>
          <w:rFonts w:hint="eastAsia" w:ascii="Times New Roman" w:hAnsi="Times New Roman" w:eastAsia="仿宋_GB2312"/>
          <w:b w:val="0"/>
          <w:bCs w:val="0"/>
          <w:color w:val="auto"/>
          <w:kern w:val="0"/>
          <w:sz w:val="28"/>
          <w:szCs w:val="28"/>
          <w:lang w:val="en-US" w:eastAsia="zh-CN"/>
        </w:rPr>
        <w:t>3.项目资金管理情况分析</w:t>
      </w:r>
      <w:bookmarkEnd w:id="163"/>
      <w:bookmarkEnd w:id="164"/>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经审查分析发现：2019 年甘肃省人民代表大会常务委员会立法专项经费</w:t>
      </w:r>
      <w:r>
        <w:rPr>
          <w:rFonts w:ascii="仿宋_GB2312" w:hAnsi="仿宋_GB2312" w:eastAsia="仿宋_GB2312" w:cs="仿宋_GB2312"/>
          <w:color w:val="000000"/>
          <w:kern w:val="0"/>
          <w:sz w:val="28"/>
          <w:szCs w:val="28"/>
          <w:lang w:val="en-US" w:eastAsia="zh-CN" w:bidi="ar"/>
        </w:rPr>
        <w:t>管理制度</w:t>
      </w:r>
      <w:r>
        <w:rPr>
          <w:rFonts w:hint="eastAsia" w:ascii="仿宋_GB2312" w:hAnsi="仿宋_GB2312" w:eastAsia="仿宋_GB2312" w:cs="仿宋_GB2312"/>
          <w:color w:val="000000"/>
          <w:kern w:val="0"/>
          <w:sz w:val="28"/>
          <w:szCs w:val="28"/>
          <w:lang w:val="en-US" w:eastAsia="zh-CN" w:bidi="ar"/>
        </w:rPr>
        <w:t>不够</w:t>
      </w:r>
      <w:r>
        <w:rPr>
          <w:rFonts w:ascii="仿宋_GB2312" w:hAnsi="仿宋_GB2312" w:eastAsia="仿宋_GB2312" w:cs="仿宋_GB2312"/>
          <w:color w:val="000000"/>
          <w:kern w:val="0"/>
          <w:sz w:val="28"/>
          <w:szCs w:val="28"/>
          <w:lang w:val="en-US" w:eastAsia="zh-CN" w:bidi="ar"/>
        </w:rPr>
        <w:t>健全，</w:t>
      </w:r>
      <w:r>
        <w:rPr>
          <w:rFonts w:hint="eastAsia" w:ascii="仿宋_GB2312" w:hAnsi="仿宋_GB2312" w:eastAsia="仿宋_GB2312" w:cs="仿宋_GB2312"/>
          <w:color w:val="000000"/>
          <w:kern w:val="0"/>
          <w:sz w:val="28"/>
          <w:szCs w:val="28"/>
          <w:lang w:val="en-US" w:eastAsia="zh-CN" w:bidi="ar"/>
        </w:rPr>
        <w:t>具体表现为单位未制定特定的关于“立法专项”经费的财务管理制度，甘肃省人民代表大会常务委员是</w:t>
      </w:r>
      <w:r>
        <w:rPr>
          <w:rFonts w:ascii="仿宋_GB2312" w:hAnsi="仿宋_GB2312" w:eastAsia="仿宋_GB2312" w:cs="仿宋_GB2312"/>
          <w:color w:val="000000"/>
          <w:kern w:val="0"/>
          <w:sz w:val="28"/>
          <w:szCs w:val="28"/>
          <w:lang w:val="en-US" w:eastAsia="zh-CN" w:bidi="ar"/>
        </w:rPr>
        <w:t>按照</w:t>
      </w:r>
      <w:r>
        <w:rPr>
          <w:rFonts w:hint="eastAsia" w:eastAsia="仿宋_GB2312"/>
          <w:color w:val="auto"/>
          <w:kern w:val="0"/>
          <w:sz w:val="28"/>
          <w:szCs w:val="28"/>
          <w:lang w:val="en-US" w:eastAsia="zh-CN"/>
        </w:rPr>
        <w:t>《甘肃省人大常委会机关财务管理办法》</w:t>
      </w:r>
      <w:r>
        <w:rPr>
          <w:rFonts w:ascii="仿宋_GB2312" w:hAnsi="仿宋_GB2312" w:eastAsia="仿宋_GB2312" w:cs="仿宋_GB2312"/>
          <w:color w:val="000000"/>
          <w:kern w:val="0"/>
          <w:sz w:val="28"/>
          <w:szCs w:val="28"/>
          <w:lang w:val="en-US" w:eastAsia="zh-CN" w:bidi="ar"/>
        </w:rPr>
        <w:t>的要求对资金使用过程进行管理。</w:t>
      </w:r>
      <w:r>
        <w:rPr>
          <w:rFonts w:hint="eastAsia" w:ascii="仿宋_GB2312" w:hAnsi="仿宋_GB2312" w:eastAsia="仿宋_GB2312" w:cs="仿宋_GB2312"/>
          <w:color w:val="000000"/>
          <w:kern w:val="0"/>
          <w:sz w:val="28"/>
          <w:szCs w:val="28"/>
          <w:lang w:val="en-US" w:eastAsia="zh-CN" w:bidi="ar"/>
        </w:rPr>
        <w:t>且单位在进行年初预算的时候，对各项工作的预算不够细化、明确，所以会出现四项工作内容之间经费互相拆借填补挪用的现象。</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outlineLvl w:val="1"/>
        <w:rPr>
          <w:rFonts w:hint="default" w:ascii="仿宋_GB2312" w:hAnsi="仿宋_GB2312" w:eastAsia="仿宋_GB2312" w:cs="仿宋_GB2312"/>
          <w:color w:val="000000"/>
          <w:kern w:val="0"/>
          <w:sz w:val="28"/>
          <w:szCs w:val="28"/>
          <w:lang w:val="en-US" w:eastAsia="zh-CN" w:bidi="ar"/>
        </w:rPr>
      </w:pPr>
      <w:bookmarkStart w:id="165" w:name="_Toc12406"/>
      <w:bookmarkStart w:id="166" w:name="_Toc14355"/>
      <w:bookmarkStart w:id="167" w:name="_Toc3239"/>
      <w:bookmarkStart w:id="168" w:name="_Toc11754"/>
      <w:r>
        <w:rPr>
          <w:rFonts w:hint="default" w:ascii="仿宋_GB2312" w:hAnsi="仿宋_GB2312" w:eastAsia="仿宋_GB2312" w:cs="仿宋_GB2312"/>
          <w:b/>
          <w:bCs/>
          <w:color w:val="000000"/>
          <w:kern w:val="0"/>
          <w:sz w:val="28"/>
          <w:szCs w:val="28"/>
          <w:lang w:val="en-US" w:eastAsia="zh-CN" w:bidi="ar"/>
        </w:rPr>
        <w:t>（二）项目</w:t>
      </w:r>
      <w:r>
        <w:rPr>
          <w:rFonts w:hint="eastAsia" w:ascii="仿宋_GB2312" w:hAnsi="仿宋_GB2312" w:eastAsia="仿宋_GB2312" w:cs="仿宋_GB2312"/>
          <w:b/>
          <w:bCs/>
          <w:color w:val="000000"/>
          <w:kern w:val="0"/>
          <w:sz w:val="28"/>
          <w:szCs w:val="28"/>
          <w:lang w:val="en-US" w:eastAsia="zh-CN" w:bidi="ar"/>
        </w:rPr>
        <w:t>过程</w:t>
      </w:r>
      <w:r>
        <w:rPr>
          <w:rFonts w:hint="default" w:ascii="仿宋_GB2312" w:hAnsi="仿宋_GB2312" w:eastAsia="仿宋_GB2312" w:cs="仿宋_GB2312"/>
          <w:b/>
          <w:bCs/>
          <w:color w:val="000000"/>
          <w:kern w:val="0"/>
          <w:sz w:val="28"/>
          <w:szCs w:val="28"/>
          <w:lang w:val="en-US" w:eastAsia="zh-CN" w:bidi="ar"/>
        </w:rPr>
        <w:t>情况分析</w:t>
      </w:r>
      <w:bookmarkEnd w:id="165"/>
      <w:bookmarkEnd w:id="166"/>
      <w:bookmarkEnd w:id="167"/>
      <w:bookmarkEnd w:id="168"/>
      <w:r>
        <w:rPr>
          <w:rFonts w:hint="default" w:ascii="仿宋_GB2312" w:hAnsi="仿宋_GB2312"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outlineLvl w:val="2"/>
        <w:rPr>
          <w:rFonts w:hint="default" w:ascii="仿宋_GB2312" w:hAnsi="仿宋_GB2312" w:eastAsia="仿宋_GB2312" w:cs="仿宋_GB2312"/>
          <w:b w:val="0"/>
          <w:bCs w:val="0"/>
          <w:color w:val="000000"/>
          <w:kern w:val="0"/>
          <w:sz w:val="28"/>
          <w:szCs w:val="28"/>
          <w:lang w:val="en-US" w:eastAsia="zh-CN" w:bidi="ar"/>
        </w:rPr>
      </w:pPr>
      <w:bookmarkStart w:id="169" w:name="_Toc14215"/>
      <w:bookmarkStart w:id="170" w:name="_Toc21991"/>
      <w:r>
        <w:rPr>
          <w:rFonts w:hint="default" w:ascii="仿宋_GB2312" w:hAnsi="仿宋_GB2312" w:eastAsia="仿宋_GB2312" w:cs="仿宋_GB2312"/>
          <w:b w:val="0"/>
          <w:bCs w:val="0"/>
          <w:color w:val="000000"/>
          <w:kern w:val="0"/>
          <w:sz w:val="28"/>
          <w:szCs w:val="28"/>
          <w:lang w:val="en-US" w:eastAsia="zh-CN" w:bidi="ar"/>
        </w:rPr>
        <w:t>1.项目组织情况分析</w:t>
      </w:r>
      <w:bookmarkEnd w:id="169"/>
      <w:bookmarkEnd w:id="170"/>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default" w:ascii="仿宋_GB2312" w:hAnsi="仿宋_GB2312" w:eastAsia="仿宋_GB2312" w:cs="仿宋_GB2312"/>
          <w:color w:val="000000"/>
          <w:kern w:val="0"/>
          <w:sz w:val="28"/>
          <w:szCs w:val="28"/>
          <w:lang w:val="en-US" w:eastAsia="zh-CN" w:bidi="ar"/>
        </w:rPr>
        <w:t>本项目组织机构健全、分工明确。项目</w:t>
      </w:r>
      <w:r>
        <w:rPr>
          <w:rFonts w:hint="eastAsia" w:ascii="仿宋_GB2312" w:hAnsi="仿宋_GB2312" w:eastAsia="仿宋_GB2312" w:cs="仿宋_GB2312"/>
          <w:color w:val="000000"/>
          <w:kern w:val="0"/>
          <w:sz w:val="28"/>
          <w:szCs w:val="28"/>
          <w:lang w:val="en-US" w:eastAsia="zh-CN" w:bidi="ar"/>
        </w:rPr>
        <w:t>由甘肃省人民代表大会常务委员会办公厅负责</w:t>
      </w:r>
      <w:r>
        <w:rPr>
          <w:rFonts w:hint="default" w:ascii="仿宋_GB2312" w:hAnsi="仿宋_GB2312" w:eastAsia="仿宋_GB2312" w:cs="仿宋_GB2312"/>
          <w:color w:val="000000"/>
          <w:kern w:val="0"/>
          <w:sz w:val="28"/>
          <w:szCs w:val="28"/>
          <w:lang w:val="en-US" w:eastAsia="zh-CN" w:bidi="ar"/>
        </w:rPr>
        <w:t>，</w:t>
      </w:r>
      <w:r>
        <w:rPr>
          <w:rFonts w:hint="eastAsia" w:ascii="仿宋_GB2312" w:hAnsi="仿宋_GB2312" w:eastAsia="仿宋_GB2312" w:cs="仿宋_GB2312"/>
          <w:color w:val="auto"/>
          <w:kern w:val="0"/>
          <w:sz w:val="28"/>
          <w:szCs w:val="28"/>
          <w:lang w:val="en-US" w:eastAsia="zh-CN" w:bidi="ar"/>
        </w:rPr>
        <w:t>环境资源保护委员会、环境资源工作委员会负责“陇原环保世纪行”工作的开展实施，监察和司法委员会、监察和司法工作委员会负责“人大司法监督工作”的开展实施，法制委员会、法制工作委员会负责“规范性文件备案审查”工作的额开展实施，法制委员会、法制工作委员会负责“立法及法规清理”工作的开展实施</w:t>
      </w:r>
      <w:r>
        <w:rPr>
          <w:rFonts w:hint="default" w:ascii="仿宋_GB2312" w:hAnsi="仿宋_GB2312" w:eastAsia="仿宋_GB2312" w:cs="仿宋_GB2312"/>
          <w:color w:val="auto"/>
          <w:kern w:val="0"/>
          <w:sz w:val="28"/>
          <w:szCs w:val="28"/>
          <w:lang w:val="en-US" w:eastAsia="zh-CN" w:bidi="ar"/>
        </w:rPr>
        <w:t>。</w:t>
      </w:r>
      <w:r>
        <w:rPr>
          <w:rFonts w:hint="eastAsia" w:ascii="仿宋_GB2312" w:hAnsi="仿宋_GB2312" w:eastAsia="仿宋_GB2312" w:cs="仿宋_GB2312"/>
          <w:color w:val="auto"/>
          <w:kern w:val="0"/>
          <w:sz w:val="28"/>
          <w:szCs w:val="28"/>
          <w:lang w:val="en-US" w:eastAsia="zh-CN" w:bidi="ar"/>
        </w:rPr>
        <w:t>项目年初有详细的工作计划方案，年终有各实施部门对各项工作进行总结，</w:t>
      </w:r>
      <w:r>
        <w:rPr>
          <w:rFonts w:hint="eastAsia" w:ascii="仿宋_GB2312" w:hAnsi="仿宋_GB2312" w:eastAsia="仿宋_GB2312" w:cs="仿宋_GB2312"/>
          <w:color w:val="000000"/>
          <w:kern w:val="0"/>
          <w:sz w:val="28"/>
          <w:szCs w:val="28"/>
          <w:lang w:val="en-US" w:eastAsia="zh-CN" w:bidi="ar"/>
        </w:rPr>
        <w:t>甘肃省人民代表大会常务委员会办公厅全程对各项工作进行监督。甘肃省财政厅</w:t>
      </w:r>
      <w:r>
        <w:rPr>
          <w:rFonts w:hint="default" w:ascii="仿宋_GB2312" w:hAnsi="仿宋_GB2312" w:eastAsia="仿宋_GB2312" w:cs="仿宋_GB2312"/>
          <w:color w:val="000000"/>
          <w:kern w:val="0"/>
          <w:sz w:val="28"/>
          <w:szCs w:val="28"/>
          <w:lang w:val="en-US" w:eastAsia="zh-CN" w:bidi="ar"/>
        </w:rPr>
        <w:t>主要负责专项资金的管理、拨付、评估等。</w:t>
      </w:r>
      <w:r>
        <w:rPr>
          <w:rFonts w:hint="eastAsia" w:ascii="仿宋_GB2312" w:hAnsi="仿宋_GB2312" w:eastAsia="仿宋_GB2312" w:cs="仿宋_GB2312"/>
          <w:color w:val="000000"/>
          <w:kern w:val="0"/>
          <w:sz w:val="28"/>
          <w:szCs w:val="28"/>
          <w:lang w:val="en-US" w:eastAsia="zh-CN" w:bidi="ar"/>
        </w:rPr>
        <w:t>总体来说，本项目组织情况较好，有严格的控制体系保障项目的有序开展和顺利实施。</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outlineLvl w:val="2"/>
        <w:rPr>
          <w:rFonts w:hint="eastAsia" w:ascii="仿宋_GB2312" w:hAnsi="仿宋_GB2312" w:eastAsia="仿宋_GB2312" w:cs="仿宋_GB2312"/>
          <w:b w:val="0"/>
          <w:bCs w:val="0"/>
          <w:color w:val="000000"/>
          <w:kern w:val="0"/>
          <w:sz w:val="28"/>
          <w:szCs w:val="28"/>
          <w:lang w:val="en-US" w:eastAsia="zh-CN" w:bidi="ar"/>
        </w:rPr>
      </w:pPr>
      <w:bookmarkStart w:id="171" w:name="_Toc13879"/>
      <w:bookmarkStart w:id="172" w:name="_Toc24055"/>
      <w:r>
        <w:rPr>
          <w:rFonts w:hint="eastAsia" w:ascii="仿宋_GB2312" w:hAnsi="仿宋_GB2312" w:eastAsia="仿宋_GB2312" w:cs="仿宋_GB2312"/>
          <w:b w:val="0"/>
          <w:bCs w:val="0"/>
          <w:color w:val="000000"/>
          <w:kern w:val="0"/>
          <w:sz w:val="28"/>
          <w:szCs w:val="28"/>
          <w:lang w:val="en-US" w:eastAsia="zh-CN" w:bidi="ar"/>
        </w:rPr>
        <w:t>2.项目管理情况分析</w:t>
      </w:r>
      <w:bookmarkEnd w:id="171"/>
      <w:bookmarkEnd w:id="172"/>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eastAsia="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bidi="ar"/>
        </w:rPr>
        <w:t>各责任部门严格按照甘肃省人民代表大会常务委员会办公厅部署及要求组织项目实施及管理，在年初统一向办公厅提交项目工作实施计划方案及预算数据，由甘肃省人民代表大会常务委员会办公厅汇总后上报甘肃省财政厅立项并进行预算审批。资金下达后各责任部门严格遵循年初计划开展项目工作，甘肃省人民代表大会常务委员会办公厅全程对各项工作进行监督。项目资金的使用严格遵守</w:t>
      </w:r>
      <w:r>
        <w:rPr>
          <w:rFonts w:hint="eastAsia" w:eastAsia="仿宋_GB2312"/>
          <w:color w:val="auto"/>
          <w:kern w:val="0"/>
          <w:sz w:val="28"/>
          <w:szCs w:val="28"/>
          <w:lang w:val="en-US" w:eastAsia="zh-CN"/>
        </w:rPr>
        <w:t>《甘肃省人大常委会机关财务管理办法》的相关规定。年底，甘肃省人民代表大会常务委员会办公厅组织开展了关于本项目的实施情况总结，了解项目实施进展、存在问题和后续工作计划等，为保证项目继续实施、完成计划任务起到了督促作用。整个项目过程严肃、严谨、有序。</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left"/>
        <w:textAlignment w:val="auto"/>
        <w:outlineLvl w:val="1"/>
        <w:rPr>
          <w:rFonts w:hint="eastAsia" w:ascii="仿宋_GB2312" w:hAnsi="仿宋_GB2312" w:eastAsia="仿宋_GB2312" w:cs="仿宋_GB2312"/>
          <w:b/>
          <w:bCs/>
          <w:color w:val="000000"/>
          <w:kern w:val="0"/>
          <w:sz w:val="28"/>
          <w:szCs w:val="28"/>
          <w:lang w:val="en-US" w:eastAsia="zh-CN" w:bidi="ar"/>
        </w:rPr>
      </w:pPr>
      <w:bookmarkStart w:id="173" w:name="_Toc17355"/>
      <w:bookmarkStart w:id="174" w:name="_Toc21361"/>
      <w:bookmarkStart w:id="175" w:name="_Toc21141"/>
      <w:bookmarkStart w:id="176" w:name="_Toc21137"/>
      <w:r>
        <w:rPr>
          <w:rFonts w:hint="eastAsia" w:ascii="仿宋_GB2312" w:hAnsi="仿宋_GB2312" w:eastAsia="仿宋_GB2312" w:cs="仿宋_GB2312"/>
          <w:b/>
          <w:bCs/>
          <w:color w:val="000000"/>
          <w:kern w:val="0"/>
          <w:sz w:val="28"/>
          <w:szCs w:val="28"/>
          <w:lang w:val="en-US" w:eastAsia="zh-CN" w:bidi="ar"/>
        </w:rPr>
        <w:t>（三）项目产出情况分析</w:t>
      </w:r>
      <w:bookmarkEnd w:id="173"/>
      <w:bookmarkEnd w:id="174"/>
      <w:bookmarkEnd w:id="175"/>
      <w:bookmarkEnd w:id="176"/>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outlineLvl w:val="2"/>
        <w:rPr>
          <w:rFonts w:hint="eastAsia" w:ascii="仿宋_GB2312" w:hAnsi="仿宋_GB2312" w:eastAsia="仿宋_GB2312" w:cs="仿宋_GB2312"/>
          <w:b w:val="0"/>
          <w:bCs w:val="0"/>
          <w:color w:val="000000"/>
          <w:kern w:val="0"/>
          <w:sz w:val="28"/>
          <w:szCs w:val="28"/>
          <w:lang w:val="en-US" w:eastAsia="zh-CN" w:bidi="ar"/>
        </w:rPr>
      </w:pPr>
      <w:bookmarkStart w:id="177" w:name="_Toc29456"/>
      <w:bookmarkStart w:id="178" w:name="_Toc30739"/>
      <w:r>
        <w:rPr>
          <w:rFonts w:hint="eastAsia" w:ascii="仿宋_GB2312" w:hAnsi="仿宋_GB2312" w:eastAsia="仿宋_GB2312" w:cs="仿宋_GB2312"/>
          <w:b w:val="0"/>
          <w:bCs w:val="0"/>
          <w:color w:val="000000"/>
          <w:kern w:val="0"/>
          <w:sz w:val="28"/>
          <w:szCs w:val="28"/>
          <w:lang w:val="en-US" w:eastAsia="zh-CN" w:bidi="ar"/>
        </w:rPr>
        <w:t>1、产出数量指标分析</w:t>
      </w:r>
      <w:bookmarkEnd w:id="177"/>
      <w:bookmarkEnd w:id="178"/>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本项目根据实际情况及项目自身特点，设置如下表所示数量指标值，根据年末工作总结调查分析，各项指标均以完成，部分指标超额完成，如：审议地方性法规年初目标值为 &gt;=15件，实际完成值22件，完成率达到146.67%；组织调研考察次数年初目标值≥30次，实际完成值50次，完成率达到166.67%；组织各类培训、会议、活动次数年初设定目标值≥30次，实际完成值50次，完成率达到166.67%；制定、修改、废止地方性法规年初设定目标值≥1部，实际完成值=16部，完成率达到1600%；审查批准设施地方性法规和民族自治条例、单行条例年初设定目标值≥15件，实际完成值20件，完成率133.33%；听取审议“一府两院”工作报告年初设定目标值≥7次，实际完成值13次，完成率达到185.71%；项目数量指标完成效果较好。同时也反映出项目完成情况较好。</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auto"/>
        <w:rPr>
          <w:rFonts w:hint="eastAsia" w:ascii="仿宋_GB2312" w:hAnsi="仿宋_GB2312" w:eastAsia="仿宋_GB2312" w:cs="仿宋_GB2312"/>
          <w:b/>
          <w:bCs/>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auto"/>
        <w:rPr>
          <w:rFonts w:hint="eastAsia" w:ascii="仿宋_GB2312" w:hAnsi="仿宋_GB2312" w:eastAsia="仿宋_GB2312" w:cs="仿宋_GB2312"/>
          <w:b/>
          <w:bCs/>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auto"/>
        <w:rPr>
          <w:rFonts w:hint="default"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val="en-US" w:eastAsia="zh-CN" w:bidi="ar"/>
        </w:rPr>
        <w:t>表6.数量指标</w:t>
      </w:r>
    </w:p>
    <w:tbl>
      <w:tblPr>
        <w:tblStyle w:val="15"/>
        <w:tblW w:w="8325" w:type="dxa"/>
        <w:tblInd w:w="0" w:type="dxa"/>
        <w:tblLayout w:type="fixed"/>
        <w:tblCellMar>
          <w:top w:w="0" w:type="dxa"/>
          <w:left w:w="0" w:type="dxa"/>
          <w:bottom w:w="0" w:type="dxa"/>
          <w:right w:w="0" w:type="dxa"/>
        </w:tblCellMar>
      </w:tblPr>
      <w:tblGrid>
        <w:gridCol w:w="1061"/>
        <w:gridCol w:w="3360"/>
        <w:gridCol w:w="1301"/>
        <w:gridCol w:w="1301"/>
        <w:gridCol w:w="1302"/>
      </w:tblGrid>
      <w:tr>
        <w:tblPrEx>
          <w:tblLayout w:type="fixed"/>
          <w:tblCellMar>
            <w:top w:w="0" w:type="dxa"/>
            <w:left w:w="0" w:type="dxa"/>
            <w:bottom w:w="0" w:type="dxa"/>
            <w:right w:w="0" w:type="dxa"/>
          </w:tblCellMar>
        </w:tblPrEx>
        <w:trPr>
          <w:trHeight w:val="454" w:hRule="exact"/>
        </w:trPr>
        <w:tc>
          <w:tcPr>
            <w:tcW w:w="1061"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3360"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301"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301"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完成值</w:t>
            </w:r>
          </w:p>
        </w:tc>
        <w:tc>
          <w:tcPr>
            <w:tcW w:w="1302"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完成率</w:t>
            </w:r>
          </w:p>
        </w:tc>
      </w:tr>
      <w:tr>
        <w:tblPrEx>
          <w:tblLayout w:type="fixed"/>
          <w:tblCellMar>
            <w:top w:w="0" w:type="dxa"/>
            <w:left w:w="0" w:type="dxa"/>
            <w:bottom w:w="0" w:type="dxa"/>
            <w:right w:w="0" w:type="dxa"/>
          </w:tblCellMar>
        </w:tblPrEx>
        <w:trPr>
          <w:trHeight w:val="454" w:hRule="exact"/>
        </w:trPr>
        <w:tc>
          <w:tcPr>
            <w:tcW w:w="106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聘请立法论证专家人数</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&gt;=10人</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&gt;=30人</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审议地方性法规</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&gt;=15件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22件</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146.67%</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组织调研考察次数</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&gt;=30次</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&gt;=50次</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166.67%</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法规文本释义汇编等印刷出版册数</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&gt;=1000册</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&gt;=1000册</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法规数据库建设维护次数</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&gt;=1次</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&gt;=1次</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组织各类培训、会议、活动次数</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&gt;=30次</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&gt;=50次</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166.67%</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购买维护系统数量</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1套</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1套</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组织开展中华环保世纪行宣传活动次数</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&gt;=1次</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&gt;=1次</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制定、修改、废止地方性法规</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&gt;=1部</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=16部</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1600%</w:t>
            </w:r>
          </w:p>
        </w:tc>
      </w:tr>
      <w:tr>
        <w:tblPrEx>
          <w:tblLayout w:type="fixed"/>
          <w:tblCellMar>
            <w:top w:w="0" w:type="dxa"/>
            <w:left w:w="0" w:type="dxa"/>
            <w:bottom w:w="0" w:type="dxa"/>
            <w:right w:w="0" w:type="dxa"/>
          </w:tblCellMar>
        </w:tblPrEx>
        <w:trPr>
          <w:trHeight w:val="638"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审查批准设施地方性法规和民族自治条例、单行条例</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&gt;=15件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=20件</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133.33%</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开展执法检查</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&gt;=5次</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6次</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120%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听取审议“一府两院”工作报告</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&gt;=7次</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=13次</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185.71%</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560" w:firstLineChars="200"/>
        <w:jc w:val="left"/>
        <w:textAlignment w:val="auto"/>
        <w:outlineLvl w:val="2"/>
        <w:rPr>
          <w:rFonts w:hint="eastAsia" w:ascii="仿宋_GB2312" w:hAnsi="仿宋_GB2312" w:eastAsia="仿宋_GB2312" w:cs="仿宋_GB2312"/>
          <w:b w:val="0"/>
          <w:bCs w:val="0"/>
          <w:color w:val="000000"/>
          <w:kern w:val="0"/>
          <w:sz w:val="28"/>
          <w:szCs w:val="28"/>
          <w:lang w:val="en-US" w:eastAsia="zh-CN" w:bidi="ar"/>
        </w:rPr>
      </w:pPr>
      <w:bookmarkStart w:id="179" w:name="_Toc16518"/>
      <w:bookmarkStart w:id="180" w:name="_Toc9406"/>
      <w:r>
        <w:rPr>
          <w:rFonts w:hint="eastAsia" w:ascii="仿宋_GB2312" w:hAnsi="仿宋_GB2312" w:eastAsia="仿宋_GB2312" w:cs="仿宋_GB2312"/>
          <w:b w:val="0"/>
          <w:bCs w:val="0"/>
          <w:color w:val="000000"/>
          <w:kern w:val="0"/>
          <w:sz w:val="28"/>
          <w:szCs w:val="28"/>
          <w:lang w:val="en-US" w:eastAsia="zh-CN" w:bidi="ar"/>
        </w:rPr>
        <w:t>2、产出质量指标分析</w:t>
      </w:r>
      <w:bookmarkEnd w:id="179"/>
      <w:bookmarkEnd w:id="180"/>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本项目产出质量指标设置情况如下表所示，根据年末工作总结及调查结果分析得出，各项指标值均已完成，均已达到年初预设的各项质量指标要求，项目质量指标完成情况较好。由此说明项目完成质量较好，充分保障了省人大常委会</w:t>
      </w:r>
      <w:r>
        <w:rPr>
          <w:rFonts w:hint="eastAsia" w:ascii="Times New Roman" w:hAnsi="Times New Roman" w:eastAsia="仿宋_GB2312" w:cs="Times New Roman"/>
          <w:color w:val="auto"/>
          <w:kern w:val="0"/>
          <w:sz w:val="28"/>
          <w:szCs w:val="28"/>
          <w:lang w:val="en-US" w:eastAsia="zh-CN"/>
        </w:rPr>
        <w:t>“陇原环保世纪行”、“人大司法监督工作专项”、“规范性文件备案审查”、“立法经费及法规清理专项”工作的实施和完成质量</w:t>
      </w:r>
      <w:r>
        <w:rPr>
          <w:rFonts w:hint="eastAsia" w:ascii="仿宋_GB2312" w:hAnsi="仿宋_GB2312" w:eastAsia="仿宋_GB2312" w:cs="仿宋_GB2312"/>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auto"/>
        <w:rPr>
          <w:rFonts w:hint="eastAsia" w:ascii="仿宋_GB2312" w:hAnsi="仿宋_GB2312" w:eastAsia="仿宋_GB2312" w:cs="仿宋_GB2312"/>
          <w:b/>
          <w:bCs/>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auto"/>
        <w:rPr>
          <w:rFonts w:hint="eastAsia" w:ascii="仿宋_GB2312" w:hAnsi="仿宋_GB2312" w:eastAsia="仿宋_GB2312" w:cs="仿宋_GB2312"/>
          <w:b/>
          <w:bCs/>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auto"/>
        <w:rPr>
          <w:rFonts w:hint="eastAsia" w:ascii="仿宋_GB2312" w:hAnsi="仿宋_GB2312" w:eastAsia="仿宋_GB2312" w:cs="仿宋_GB2312"/>
          <w:b/>
          <w:bCs/>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auto"/>
        <w:rPr>
          <w:rFonts w:hint="eastAsia" w:ascii="仿宋_GB2312" w:hAnsi="仿宋_GB2312" w:eastAsia="仿宋_GB2312" w:cs="仿宋_GB2312"/>
          <w:b/>
          <w:bCs/>
          <w:color w:val="auto"/>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auto"/>
        <w:rPr>
          <w:rFonts w:hint="default"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val="en-US" w:eastAsia="zh-CN" w:bidi="ar"/>
        </w:rPr>
        <w:t>表7.质量指标</w:t>
      </w:r>
    </w:p>
    <w:tbl>
      <w:tblPr>
        <w:tblStyle w:val="15"/>
        <w:tblW w:w="8327" w:type="dxa"/>
        <w:tblInd w:w="0" w:type="dxa"/>
        <w:tblLayout w:type="fixed"/>
        <w:tblCellMar>
          <w:top w:w="0" w:type="dxa"/>
          <w:left w:w="0" w:type="dxa"/>
          <w:bottom w:w="0" w:type="dxa"/>
          <w:right w:w="0" w:type="dxa"/>
        </w:tblCellMar>
      </w:tblPr>
      <w:tblGrid>
        <w:gridCol w:w="1061"/>
        <w:gridCol w:w="3361"/>
        <w:gridCol w:w="1301"/>
        <w:gridCol w:w="1302"/>
        <w:gridCol w:w="1302"/>
      </w:tblGrid>
      <w:tr>
        <w:tblPrEx>
          <w:tblLayout w:type="fixed"/>
          <w:tblCellMar>
            <w:top w:w="0" w:type="dxa"/>
            <w:left w:w="0" w:type="dxa"/>
            <w:bottom w:w="0" w:type="dxa"/>
            <w:right w:w="0" w:type="dxa"/>
          </w:tblCellMar>
        </w:tblPrEx>
        <w:trPr>
          <w:trHeight w:val="454" w:hRule="exact"/>
        </w:trPr>
        <w:tc>
          <w:tcPr>
            <w:tcW w:w="1061"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二级指标</w:t>
            </w:r>
          </w:p>
        </w:tc>
        <w:tc>
          <w:tcPr>
            <w:tcW w:w="3361"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三级指标</w:t>
            </w:r>
          </w:p>
        </w:tc>
        <w:tc>
          <w:tcPr>
            <w:tcW w:w="1301"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年度指标值</w:t>
            </w:r>
          </w:p>
        </w:tc>
        <w:tc>
          <w:tcPr>
            <w:tcW w:w="1302"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实际完成值</w:t>
            </w:r>
          </w:p>
        </w:tc>
        <w:tc>
          <w:tcPr>
            <w:tcW w:w="1302" w:type="dxa"/>
            <w:tcBorders>
              <w:top w:val="single" w:color="000000" w:sz="4" w:space="0"/>
              <w:left w:val="single" w:color="000000" w:sz="4" w:space="0"/>
              <w:bottom w:val="single" w:color="000000" w:sz="4" w:space="0"/>
              <w:right w:val="single" w:color="000000" w:sz="4" w:space="0"/>
            </w:tcBorders>
            <w:shd w:val="clear" w:color="auto" w:fill="E7E6E6" w:themeFill="background2"/>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完成率</w:t>
            </w:r>
          </w:p>
        </w:tc>
      </w:tr>
      <w:tr>
        <w:tblPrEx>
          <w:tblLayout w:type="fixed"/>
          <w:tblCellMar>
            <w:top w:w="0" w:type="dxa"/>
            <w:left w:w="0" w:type="dxa"/>
            <w:bottom w:w="0" w:type="dxa"/>
            <w:right w:w="0" w:type="dxa"/>
          </w:tblCellMar>
        </w:tblPrEx>
        <w:trPr>
          <w:trHeight w:val="454" w:hRule="exact"/>
        </w:trPr>
        <w:tc>
          <w:tcPr>
            <w:tcW w:w="106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33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条例法案适用度</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培训、宣传的主题符合度 </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论证专家的专业符合度</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印制材料验收合格率</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规范性文件备案审查合格率</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&gt;=95%</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&gt;=95%</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购置设备设施验收合格率</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系统运行稳定率</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&gt;=95%</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&gt;=95%</w:t>
            </w:r>
          </w:p>
        </w:tc>
        <w:tc>
          <w:tcPr>
            <w:tcW w:w="130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jc w:val="left"/>
        <w:textAlignment w:val="auto"/>
        <w:rPr>
          <w:rFonts w:hint="default" w:ascii="仿宋_GB2312" w:hAnsi="仿宋_GB2312" w:eastAsia="仿宋_GB2312" w:cs="仿宋_GB2312"/>
          <w:color w:val="000000"/>
          <w:kern w:val="0"/>
          <w:sz w:val="28"/>
          <w:szCs w:val="28"/>
          <w:lang w:val="en-US" w:eastAsia="zh-CN" w:bidi="ar"/>
        </w:rPr>
      </w:pPr>
    </w:p>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560" w:firstLineChars="200"/>
        <w:jc w:val="left"/>
        <w:textAlignment w:val="auto"/>
        <w:outlineLvl w:val="2"/>
        <w:rPr>
          <w:rFonts w:hint="default" w:ascii="仿宋_GB2312" w:hAnsi="仿宋_GB2312" w:eastAsia="仿宋_GB2312" w:cs="仿宋_GB2312"/>
          <w:b w:val="0"/>
          <w:bCs w:val="0"/>
          <w:color w:val="000000"/>
          <w:kern w:val="0"/>
          <w:sz w:val="28"/>
          <w:szCs w:val="28"/>
          <w:lang w:val="en-US" w:eastAsia="zh-CN" w:bidi="ar"/>
        </w:rPr>
      </w:pPr>
      <w:bookmarkStart w:id="181" w:name="_Toc27651"/>
      <w:bookmarkStart w:id="182" w:name="_Toc564"/>
      <w:r>
        <w:rPr>
          <w:rFonts w:hint="eastAsia" w:ascii="仿宋_GB2312" w:hAnsi="仿宋_GB2312" w:eastAsia="仿宋_GB2312" w:cs="仿宋_GB2312"/>
          <w:b w:val="0"/>
          <w:bCs w:val="0"/>
          <w:color w:val="000000"/>
          <w:kern w:val="0"/>
          <w:sz w:val="28"/>
          <w:szCs w:val="28"/>
          <w:lang w:val="en-US" w:eastAsia="zh-CN" w:bidi="ar"/>
        </w:rPr>
        <w:t>产出时效指标分析</w:t>
      </w:r>
      <w:bookmarkEnd w:id="181"/>
      <w:bookmarkEnd w:id="182"/>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本项目产出时效指标设置情况如下表所示，根据年末工作总结及调查结果分析得出，各项指标值均已完成，各项工作均已按照年初工作计划时间按时完成，项目时效指标完成情况较好。由此说明项目完成情况较好。</w:t>
      </w:r>
    </w:p>
    <w:p>
      <w:pPr>
        <w:keepNext w:val="0"/>
        <w:keepLines w:val="0"/>
        <w:pageBreakBefore w:val="0"/>
        <w:widowControl/>
        <w:suppressLineNumbers w:val="0"/>
        <w:kinsoku/>
        <w:wordWrap/>
        <w:overflowPunct/>
        <w:topLinePunct w:val="0"/>
        <w:autoSpaceDE/>
        <w:autoSpaceDN/>
        <w:bidi w:val="0"/>
        <w:adjustRightInd/>
        <w:snapToGrid/>
        <w:ind w:firstLine="562" w:firstLineChars="200"/>
        <w:jc w:val="center"/>
        <w:textAlignment w:val="auto"/>
        <w:rPr>
          <w:rFonts w:hint="default"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val="en-US" w:eastAsia="zh-CN" w:bidi="ar"/>
        </w:rPr>
        <w:t>表8. 时效指标</w:t>
      </w:r>
    </w:p>
    <w:tbl>
      <w:tblPr>
        <w:tblStyle w:val="15"/>
        <w:tblW w:w="8323" w:type="dxa"/>
        <w:tblInd w:w="0" w:type="dxa"/>
        <w:tblLayout w:type="fixed"/>
        <w:tblCellMar>
          <w:top w:w="0" w:type="dxa"/>
          <w:left w:w="0" w:type="dxa"/>
          <w:bottom w:w="0" w:type="dxa"/>
          <w:right w:w="0" w:type="dxa"/>
        </w:tblCellMar>
      </w:tblPr>
      <w:tblGrid>
        <w:gridCol w:w="1060"/>
        <w:gridCol w:w="3360"/>
        <w:gridCol w:w="1301"/>
        <w:gridCol w:w="1301"/>
        <w:gridCol w:w="1301"/>
      </w:tblGrid>
      <w:tr>
        <w:tblPrEx>
          <w:tblLayout w:type="fixed"/>
          <w:tblCellMar>
            <w:top w:w="0" w:type="dxa"/>
            <w:left w:w="0" w:type="dxa"/>
            <w:bottom w:w="0" w:type="dxa"/>
            <w:right w:w="0" w:type="dxa"/>
          </w:tblCellMar>
        </w:tblPrEx>
        <w:trPr>
          <w:trHeight w:val="454" w:hRule="exact"/>
        </w:trPr>
        <w:tc>
          <w:tcPr>
            <w:tcW w:w="10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二级指标</w:t>
            </w: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三级指标</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年度指标值</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完成值</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完成率</w:t>
            </w:r>
          </w:p>
        </w:tc>
      </w:tr>
      <w:tr>
        <w:tblPrEx>
          <w:tblLayout w:type="fixed"/>
          <w:tblCellMar>
            <w:top w:w="0" w:type="dxa"/>
            <w:left w:w="0" w:type="dxa"/>
            <w:bottom w:w="0" w:type="dxa"/>
            <w:right w:w="0" w:type="dxa"/>
          </w:tblCellMar>
        </w:tblPrEx>
        <w:trPr>
          <w:trHeight w:val="454" w:hRule="exact"/>
        </w:trPr>
        <w:tc>
          <w:tcPr>
            <w:tcW w:w="10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论证会座谈会听证会举办及时性</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系统故障响应及时性</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法规文本释义汇编等印刷及时性</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系统维护及购置及时性</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规范性文件备案审查及时性</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修订及废止法规条例及时性</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454" w:hRule="exact"/>
        </w:trPr>
        <w:tc>
          <w:tcPr>
            <w:tcW w:w="10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培训、宣传、活动开展及时性</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w:t>
            </w:r>
          </w:p>
        </w:tc>
        <w:tc>
          <w:tcPr>
            <w:tcW w:w="13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100%</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200"/>
        <w:jc w:val="left"/>
        <w:textAlignment w:val="auto"/>
        <w:outlineLvl w:val="1"/>
        <w:rPr>
          <w:rFonts w:hint="eastAsia" w:ascii="仿宋_GB2312" w:hAnsi="仿宋_GB2312" w:eastAsia="仿宋_GB2312" w:cs="仿宋_GB2312"/>
          <w:b/>
          <w:bCs/>
          <w:color w:val="000000"/>
          <w:kern w:val="0"/>
          <w:sz w:val="28"/>
          <w:szCs w:val="28"/>
          <w:lang w:val="en-US" w:eastAsia="zh-CN" w:bidi="ar"/>
        </w:rPr>
      </w:pPr>
      <w:bookmarkStart w:id="183" w:name="_Toc11692"/>
      <w:bookmarkStart w:id="184" w:name="_Toc13655"/>
      <w:bookmarkStart w:id="185" w:name="_Toc23112"/>
      <w:bookmarkStart w:id="186" w:name="_Toc6005"/>
      <w:r>
        <w:rPr>
          <w:rFonts w:hint="eastAsia" w:ascii="仿宋_GB2312" w:hAnsi="仿宋_GB2312" w:eastAsia="仿宋_GB2312" w:cs="仿宋_GB2312"/>
          <w:b/>
          <w:bCs/>
          <w:color w:val="000000"/>
          <w:kern w:val="0"/>
          <w:sz w:val="28"/>
          <w:szCs w:val="28"/>
          <w:lang w:val="en-US" w:eastAsia="zh-CN" w:bidi="ar"/>
        </w:rPr>
        <w:t>（四）产出效益指标分析</w:t>
      </w:r>
      <w:bookmarkEnd w:id="183"/>
      <w:bookmarkEnd w:id="184"/>
      <w:bookmarkEnd w:id="185"/>
      <w:bookmarkEnd w:id="186"/>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560" w:firstLineChars="200"/>
        <w:jc w:val="left"/>
        <w:textAlignment w:val="auto"/>
        <w:outlineLvl w:val="2"/>
        <w:rPr>
          <w:rFonts w:hint="default" w:ascii="仿宋_GB2312" w:hAnsi="仿宋_GB2312" w:eastAsia="仿宋_GB2312" w:cs="仿宋_GB2312"/>
          <w:b w:val="0"/>
          <w:bCs w:val="0"/>
          <w:color w:val="000000"/>
          <w:kern w:val="0"/>
          <w:sz w:val="28"/>
          <w:szCs w:val="28"/>
          <w:lang w:val="en-US" w:eastAsia="zh-CN" w:bidi="ar"/>
        </w:rPr>
      </w:pPr>
      <w:bookmarkStart w:id="187" w:name="_Toc28704"/>
      <w:bookmarkStart w:id="188" w:name="_Toc3788"/>
      <w:r>
        <w:rPr>
          <w:rFonts w:hint="eastAsia" w:ascii="仿宋_GB2312" w:hAnsi="仿宋_GB2312" w:eastAsia="仿宋_GB2312" w:cs="仿宋_GB2312"/>
          <w:b w:val="0"/>
          <w:bCs w:val="0"/>
          <w:color w:val="000000"/>
          <w:kern w:val="0"/>
          <w:sz w:val="28"/>
          <w:szCs w:val="28"/>
          <w:lang w:val="en-US" w:eastAsia="zh-CN" w:bidi="ar"/>
        </w:rPr>
        <w:t>1、社会效益指标分析</w:t>
      </w:r>
      <w:bookmarkEnd w:id="187"/>
      <w:bookmarkEnd w:id="188"/>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（1）立法机制完善情况，立法质量提升情况；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default" w:ascii="仿宋_GB2312" w:hAnsi="仿宋_GB2312" w:eastAsia="仿宋_GB2312" w:cs="仿宋_GB2312"/>
          <w:color w:val="FF0000"/>
          <w:kern w:val="0"/>
          <w:sz w:val="28"/>
          <w:szCs w:val="28"/>
          <w:lang w:val="en-US" w:eastAsia="zh-CN" w:bidi="ar"/>
        </w:rPr>
      </w:pPr>
      <w:r>
        <w:rPr>
          <w:rFonts w:hint="default" w:ascii="仿宋_GB2312" w:hAnsi="仿宋_GB2312" w:eastAsia="仿宋_GB2312" w:cs="仿宋_GB2312"/>
          <w:color w:val="000000"/>
          <w:kern w:val="0"/>
          <w:sz w:val="28"/>
          <w:szCs w:val="28"/>
          <w:lang w:val="en-US" w:eastAsia="zh-CN" w:bidi="ar"/>
        </w:rPr>
        <w:t>依法治国是国家治理的一场深刻革命，必须坚持厉行法治。我们要推进科学立法、严格执法、公正司法、全民守法。加强宪法实施和监督，推进全宪法性审查工作，维护宪法权威。推进科学立法、民主立法、依法立法、以良法促进发展、保障善治。</w:t>
      </w:r>
      <w:r>
        <w:rPr>
          <w:rFonts w:hint="eastAsia" w:ascii="仿宋_GB2312" w:hAnsi="仿宋_GB2312" w:eastAsia="仿宋_GB2312" w:cs="仿宋_GB2312"/>
          <w:color w:val="000000"/>
          <w:kern w:val="0"/>
          <w:sz w:val="28"/>
          <w:szCs w:val="28"/>
          <w:lang w:val="en-US" w:eastAsia="zh-CN" w:bidi="ar"/>
        </w:rPr>
        <w:t>完善人大常委会立法机制，提升立法质量，是</w:t>
      </w:r>
      <w:r>
        <w:rPr>
          <w:rFonts w:hint="default" w:ascii="仿宋_GB2312" w:hAnsi="仿宋_GB2312" w:eastAsia="仿宋_GB2312" w:cs="仿宋_GB2312"/>
          <w:color w:val="000000"/>
          <w:kern w:val="0"/>
          <w:sz w:val="28"/>
          <w:szCs w:val="28"/>
          <w:lang w:val="en-US" w:eastAsia="zh-CN" w:bidi="ar"/>
        </w:rPr>
        <w:t>建设法治政府，推进依法行政，严格规范公正文明执法</w:t>
      </w:r>
      <w:r>
        <w:rPr>
          <w:rFonts w:hint="eastAsia" w:ascii="仿宋_GB2312" w:hAnsi="仿宋_GB2312" w:eastAsia="仿宋_GB2312" w:cs="仿宋_GB2312"/>
          <w:color w:val="000000"/>
          <w:kern w:val="0"/>
          <w:sz w:val="28"/>
          <w:szCs w:val="28"/>
          <w:lang w:val="en-US" w:eastAsia="zh-CN" w:bidi="ar"/>
        </w:rPr>
        <w:t>的有机保障</w:t>
      </w:r>
      <w:r>
        <w:rPr>
          <w:rFonts w:hint="default" w:ascii="仿宋_GB2312" w:hAnsi="仿宋_GB2312" w:eastAsia="仿宋_GB2312" w:cs="仿宋_GB2312"/>
          <w:color w:val="000000"/>
          <w:kern w:val="0"/>
          <w:sz w:val="28"/>
          <w:szCs w:val="28"/>
          <w:lang w:val="en-US" w:eastAsia="zh-CN" w:bidi="ar"/>
        </w:rPr>
        <w:t>。</w:t>
      </w:r>
      <w:r>
        <w:rPr>
          <w:rFonts w:hint="eastAsia" w:ascii="仿宋_GB2312" w:hAnsi="仿宋_GB2312" w:eastAsia="仿宋_GB2312" w:cs="仿宋_GB2312"/>
          <w:color w:val="000000"/>
          <w:kern w:val="0"/>
          <w:sz w:val="28"/>
          <w:szCs w:val="28"/>
          <w:lang w:val="en-US" w:eastAsia="zh-CN" w:bidi="ar"/>
        </w:rPr>
        <w:t>本项目绩效目标考核结合项目自身特点，设置完善立法机制、立法质量提升率指标，年初设定目标值为≥90%，根据年末工作总结及实地核查，该项指标的实际完成值为90%以上，完成了年初预设目标值；由此说明甘肃省人民代表大会常务委员会2019年立法工作完成情况较好，立法机制得到了完善，立法质量得到了有效提升。</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（2）条例实施对社会的影响度</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560" w:firstLineChars="200"/>
        <w:jc w:val="left"/>
        <w:textAlignment w:val="auto"/>
        <w:rPr>
          <w:rFonts w:hint="default" w:ascii="仿宋_GB2312" w:hAnsi="仿宋_GB2312" w:eastAsia="仿宋_GB2312" w:cs="仿宋_GB2312"/>
          <w:color w:val="FF0000"/>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法律条例的实施对社会的影响度是考核省人大常委会所设立法律质量的核心指标，立法工作归根结底是要服务与民，立法要符合社会发展规律和社会主义市场经济规律，符合党的现行方针、政策，具有时代特征和一定的前瞻性；符合地方立法的适度要求，调整的事项适合用法律手段规范。防止立法对社会生活干预过度，避免法繁扰民；符合本省的具体情况和实际需要，针对性强，地方特色鲜明，充分体现社会主义法治的公平与正义，从人民群众的根本利益和全局利益出发，兼顾各方利益，保护弱势群体和利益，照顾少数人的利益，促进甘肃省经济社会的发展及社会的长治久安。2019年，甘肃省人民代表大会常务委员会立法工作共计审议地方性法规22件，制定、修改、废止地方性法规16部，审查批准设置地方性法规和民族自治条例、单行条例20件，基于此，我司采用调查问卷的方法对甘肃省人民代表大会常务委员会2019年立法工作所设立法律法规条例的实施对社会的影响程度进行了抽样调查，根据所收集调查问卷数据汇总分析，2019年省人大常委会立法工作条例实施对社会的影响度年初设定目标值≥95%，实际完成值95%以上，完成率达到100%，完成了年初预设目标，完成情况较好。由此可见，甘肃省人民代表大会常务委员会2019年立法工作所设立法律法规条例的实施甘肃省经济发展及社会的长治久安起到了积极的推动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560" w:firstLineChars="200"/>
        <w:jc w:val="left"/>
        <w:textAlignment w:val="auto"/>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（3）社会大众法律知晓度</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立法工作的目的在于调整社会关系的规范成熟、可行、具体，实现法规规范的程序明确、具有可操作性，使得立法能正确处理公共权力与公民权利之间、公共权力之间、公民权利之间的关系、做到实体权利与程序权利的统一。不得对宪法、法律规定的公民权利加以限制和剥夺，不得给公民增加宪法、法律规定之外的义务。</w:t>
      </w:r>
      <w:r>
        <w:rPr>
          <w:rFonts w:hint="default" w:ascii="仿宋_GB2312" w:hAnsi="仿宋_GB2312" w:eastAsia="仿宋_GB2312" w:cs="仿宋_GB2312"/>
          <w:color w:val="auto"/>
          <w:kern w:val="0"/>
          <w:sz w:val="28"/>
          <w:szCs w:val="28"/>
          <w:lang w:val="en-US" w:eastAsia="zh-CN" w:bidi="ar"/>
        </w:rPr>
        <w:t>加大全民普法力度，建设社会主义法治文化，树立宪法法律至上、法律面前人人平等的法治理念</w:t>
      </w:r>
      <w:r>
        <w:rPr>
          <w:rFonts w:hint="eastAsia" w:ascii="仿宋_GB2312" w:hAnsi="仿宋_GB2312" w:eastAsia="仿宋_GB2312" w:cs="仿宋_GB2312"/>
          <w:color w:val="auto"/>
          <w:kern w:val="0"/>
          <w:sz w:val="28"/>
          <w:szCs w:val="28"/>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社会大众法律知晓度指标的设立旨在考察省人大常委会全民普法的力度。年初社会大众法律知晓度设置目标值为定性质“提高”，</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根据我司涉及的调查问卷回收情况数据统计分析得知，近年来，由于互联网及手机的使用，甘肃省人大常委会也通过各种渠道加强了普法新闻宣传力度，甘肃省人民群众对甘肃省人大常委会立法工作也有了新的更多的认识和了解。该项指标的完成值为“提高”，达到了预期设定的目标值，完成效果较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560" w:firstLineChars="200"/>
        <w:jc w:val="left"/>
        <w:textAlignment w:val="auto"/>
        <w:outlineLvl w:val="2"/>
        <w:rPr>
          <w:rFonts w:hint="eastAsia" w:ascii="仿宋_GB2312" w:hAnsi="仿宋_GB2312" w:eastAsia="仿宋_GB2312" w:cs="仿宋_GB2312"/>
          <w:b w:val="0"/>
          <w:bCs w:val="0"/>
          <w:color w:val="000000"/>
          <w:kern w:val="0"/>
          <w:sz w:val="28"/>
          <w:szCs w:val="28"/>
          <w:lang w:val="en-US" w:eastAsia="zh-CN" w:bidi="ar"/>
        </w:rPr>
      </w:pPr>
      <w:bookmarkStart w:id="189" w:name="_Toc13325"/>
      <w:bookmarkStart w:id="190" w:name="_Toc877"/>
      <w:r>
        <w:rPr>
          <w:rFonts w:hint="eastAsia" w:ascii="仿宋_GB2312" w:hAnsi="仿宋_GB2312" w:eastAsia="仿宋_GB2312" w:cs="仿宋_GB2312"/>
          <w:b w:val="0"/>
          <w:bCs w:val="0"/>
          <w:color w:val="000000"/>
          <w:kern w:val="0"/>
          <w:sz w:val="28"/>
          <w:szCs w:val="28"/>
          <w:lang w:val="en-US" w:eastAsia="zh-CN" w:bidi="ar"/>
        </w:rPr>
        <w:t>2、服务对象满意度指标分析</w:t>
      </w:r>
      <w:bookmarkEnd w:id="189"/>
      <w:bookmarkEnd w:id="190"/>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（1）参与立法人员满意度</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为考察甘肃省人民代表大会常务委员会立法工作中参与立法人员对立法工作的满意度，督促省人大常委会做好立法工作，保障立法工作的顺利实施，省人大常委会年初设置参与立法人员满意度指标目标值≥90%；我司设计专业的调查问卷，采用全覆盖的方式，收集到90%以上参与立法人员的反馈情况，根据数据分析，参与立法人员满意度达到90%以上，完成了年初设定的目标值，保障了立法工作的顺利开展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（2）社会人群满意度</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社会人群满意度指标的设置是为考察社会大众对甘肃省人民代表大会常务委员会立法工作满意程度，督促省人大常委会做好立法工作，保障立法工作的顺利实施，促进甘肃省经济社会的发展和社会的长治久安。省人大常委会年初设置社会人群满意度指标目标值≥90%；我司设计专业的调查问卷，采用抽样调查的方式，面向全省14个地州及甘肃省本级合计发放调查问卷300份，收集到90%以上的反馈情况，根据数据分析，社会人群对甘肃省人民代表大会常务委员会立法工作满意度达到90%以上，完成了年初设定的目标值，保障了立法工作的顺利开展实施。</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val="en-US" w:eastAsia="zh-CN"/>
        </w:rPr>
      </w:pPr>
      <w:bookmarkStart w:id="191" w:name="_Toc30939"/>
      <w:bookmarkStart w:id="192" w:name="_Toc15824"/>
      <w:bookmarkStart w:id="193" w:name="_Toc19001"/>
      <w:bookmarkStart w:id="194" w:name="_Toc32395"/>
      <w:r>
        <w:rPr>
          <w:rFonts w:hint="eastAsia" w:ascii="仿宋" w:hAnsi="仿宋" w:eastAsia="仿宋" w:cs="仿宋"/>
          <w:b/>
          <w:bCs/>
          <w:sz w:val="30"/>
          <w:szCs w:val="30"/>
          <w:lang w:val="en-US" w:eastAsia="zh-CN"/>
        </w:rPr>
        <w:t>五、主要经验及做法</w:t>
      </w:r>
      <w:bookmarkEnd w:id="191"/>
      <w:bookmarkEnd w:id="192"/>
      <w:bookmarkEnd w:id="193"/>
      <w:bookmarkEnd w:id="194"/>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甘肃省人民代表大会常务委员会为深入贯彻落实习近平总书记关于立法工作重要思想的具体措施，坚持和完善中国特色社会主义法治体系，完善党委领导、人大主导、政府依托、各方参与的立法工作的格局，坚持以人民为中心来畅通民意反映渠道，密切与人民群众血肉联系，推进科学立法、民主立法、依法立法，拓宽社会各方有序参与立法、推进市域治理现代化，结合当地特色，试点设立了基层立法联系点。</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基层立法联系点的主要职责是对法律法规草案提出建议意见，参与立法调研和立法评估等工作。基层立法联系点是社会公众参与立法的有效途径，社会公众通过基层立法联系点表达自己的意见，以更加便捷的方式参与立法活动，为我国的法治建设出谋划策。基层立法联系点的设立，构建采用自下而上的立法模式，可以使立法更好地的反映人民意愿。一方面，基层立法联系点的工作需要与基层群众对接，收集公众的立法建议意见，实现社会公众与立法机关的对话，它是基层群众直接参与立法活动的重要载体。另一方面，它与立法机关对接，反映社会公众的立法建议意见，让社会公众参与立法工作变得更加有序，更加有针对性，成为立法机关深入基层直接了解民意的桥梁。</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自基层立法联系点设立以来，各地高度重视联系点建设，不断健全制度、充分发挥优势、积极主动作为，取得良好开局。在今后的工作中，甘肃省人民代表大会常务委员会要进一步提高站位，深入贯彻落实习近平总书记关于坚持和完善人民代表大会制度的重要思想和党的十九届四中全会精神，贯彻落实省委人大工作会议精神，高质量高水平推进联系点工作，助力以良法促进发展、保障善治；进一步发挥好基层联系点作用。做到有特色、有机制、有实效，切实发挥社情民意“直通车”、法治宣传“播种机”、</w:t>
      </w:r>
      <w:r>
        <w:rPr>
          <w:rFonts w:hint="eastAsia" w:ascii="仿宋_GB2312" w:hAnsi="仿宋_GB2312" w:eastAsia="仿宋_GB2312" w:cs="仿宋_GB2312"/>
          <w:color w:val="000000"/>
          <w:kern w:val="0"/>
          <w:sz w:val="28"/>
          <w:szCs w:val="28"/>
          <w:lang w:val="en-US" w:eastAsia="zh-CN" w:bidi="ar"/>
        </w:rPr>
        <w:fldChar w:fldCharType="begin"/>
      </w:r>
      <w:r>
        <w:rPr>
          <w:rFonts w:hint="eastAsia" w:ascii="仿宋_GB2312" w:hAnsi="仿宋_GB2312" w:eastAsia="仿宋_GB2312" w:cs="仿宋_GB2312"/>
          <w:color w:val="000000"/>
          <w:kern w:val="0"/>
          <w:sz w:val="28"/>
          <w:szCs w:val="28"/>
          <w:lang w:val="en-US" w:eastAsia="zh-CN" w:bidi="ar"/>
        </w:rPr>
        <w:instrText xml:space="preserve"> HYPERLINK "http://law.hexun.com/" \t "https://news.hexun.com/2019-11-18/_blank" </w:instrText>
      </w:r>
      <w:r>
        <w:rPr>
          <w:rFonts w:hint="eastAsia" w:ascii="仿宋_GB2312" w:hAnsi="仿宋_GB2312" w:eastAsia="仿宋_GB2312" w:cs="仿宋_GB2312"/>
          <w:color w:val="000000"/>
          <w:kern w:val="0"/>
          <w:sz w:val="28"/>
          <w:szCs w:val="28"/>
          <w:lang w:val="en-US" w:eastAsia="zh-CN" w:bidi="ar"/>
        </w:rPr>
        <w:fldChar w:fldCharType="separate"/>
      </w:r>
      <w:r>
        <w:rPr>
          <w:rFonts w:hint="eastAsia" w:ascii="仿宋_GB2312" w:hAnsi="仿宋_GB2312" w:eastAsia="仿宋_GB2312" w:cs="仿宋_GB2312"/>
          <w:color w:val="000000"/>
          <w:kern w:val="0"/>
          <w:sz w:val="28"/>
          <w:szCs w:val="28"/>
          <w:lang w:val="en-US" w:eastAsia="zh-CN" w:bidi="ar"/>
        </w:rPr>
        <w:t>法律</w:t>
      </w:r>
      <w:r>
        <w:rPr>
          <w:rFonts w:hint="eastAsia" w:ascii="仿宋_GB2312" w:hAnsi="仿宋_GB2312" w:eastAsia="仿宋_GB2312" w:cs="仿宋_GB2312"/>
          <w:color w:val="000000"/>
          <w:kern w:val="0"/>
          <w:sz w:val="28"/>
          <w:szCs w:val="28"/>
          <w:lang w:val="en-US" w:eastAsia="zh-CN" w:bidi="ar"/>
        </w:rPr>
        <w:fldChar w:fldCharType="end"/>
      </w:r>
      <w:r>
        <w:rPr>
          <w:rFonts w:hint="eastAsia" w:ascii="仿宋_GB2312" w:hAnsi="仿宋_GB2312" w:eastAsia="仿宋_GB2312" w:cs="仿宋_GB2312"/>
          <w:color w:val="000000"/>
          <w:kern w:val="0"/>
          <w:sz w:val="28"/>
          <w:szCs w:val="28"/>
          <w:lang w:val="en-US" w:eastAsia="zh-CN" w:bidi="ar"/>
        </w:rPr>
        <w:t>实施“检测器”作用；进一步加强服务保障，加强业务培训指导，定期开展交流，健全完善机制，确保法规立一件成一件，使每项立法都反映群众意愿、得到群众拥护，</w:t>
      </w:r>
      <w:r>
        <w:rPr>
          <w:rFonts w:hint="default" w:ascii="仿宋_GB2312" w:hAnsi="仿宋_GB2312" w:eastAsia="仿宋_GB2312" w:cs="仿宋_GB2312"/>
          <w:color w:val="000000"/>
          <w:kern w:val="0"/>
          <w:sz w:val="28"/>
          <w:szCs w:val="28"/>
          <w:lang w:val="en-US" w:eastAsia="zh-CN" w:bidi="ar"/>
        </w:rPr>
        <w:t>将立法工作做深、做实、做细</w:t>
      </w:r>
      <w:r>
        <w:rPr>
          <w:rFonts w:hint="eastAsia" w:ascii="仿宋_GB2312" w:hAnsi="仿宋_GB2312" w:eastAsia="仿宋_GB2312" w:cs="仿宋_GB2312"/>
          <w:color w:val="000000"/>
          <w:kern w:val="0"/>
          <w:sz w:val="28"/>
          <w:szCs w:val="28"/>
          <w:lang w:val="en-US" w:eastAsia="zh-CN" w:bidi="ar"/>
        </w:rPr>
        <w:t>，为推进市域治理现代化作出新贡献。</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val="en-US" w:eastAsia="zh-CN"/>
        </w:rPr>
      </w:pPr>
      <w:bookmarkStart w:id="195" w:name="_Toc29465"/>
      <w:bookmarkStart w:id="196" w:name="_Toc947"/>
      <w:bookmarkStart w:id="197" w:name="_Toc1889"/>
      <w:bookmarkStart w:id="198" w:name="_Toc21984"/>
      <w:r>
        <w:rPr>
          <w:rFonts w:hint="eastAsia" w:ascii="仿宋" w:hAnsi="仿宋" w:eastAsia="仿宋" w:cs="仿宋"/>
          <w:b/>
          <w:bCs/>
          <w:sz w:val="30"/>
          <w:szCs w:val="30"/>
          <w:lang w:val="en-US" w:eastAsia="zh-CN"/>
        </w:rPr>
        <w:t>六、存在的问题及原因分析</w:t>
      </w:r>
      <w:bookmarkEnd w:id="195"/>
      <w:bookmarkEnd w:id="196"/>
      <w:bookmarkEnd w:id="197"/>
      <w:bookmarkEnd w:id="198"/>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outlineLvl w:val="1"/>
        <w:rPr>
          <w:rFonts w:hint="default" w:ascii="仿宋_GB2312" w:hAnsi="仿宋_GB2312" w:eastAsia="仿宋_GB2312" w:cs="仿宋_GB2312"/>
          <w:b w:val="0"/>
          <w:bCs w:val="0"/>
          <w:color w:val="auto"/>
          <w:kern w:val="0"/>
          <w:sz w:val="28"/>
          <w:szCs w:val="28"/>
          <w:lang w:val="en-US" w:eastAsia="zh-CN" w:bidi="ar"/>
        </w:rPr>
      </w:pPr>
      <w:bookmarkStart w:id="199" w:name="_Toc1110"/>
      <w:bookmarkStart w:id="200" w:name="_Toc11965"/>
      <w:bookmarkStart w:id="201" w:name="_Toc4308"/>
      <w:bookmarkStart w:id="202" w:name="_Toc25842"/>
      <w:r>
        <w:rPr>
          <w:rFonts w:hint="eastAsia" w:ascii="仿宋_GB2312" w:hAnsi="仿宋_GB2312" w:eastAsia="仿宋_GB2312" w:cs="仿宋_GB2312"/>
          <w:b w:val="0"/>
          <w:bCs w:val="0"/>
          <w:color w:val="auto"/>
          <w:kern w:val="0"/>
          <w:sz w:val="28"/>
          <w:szCs w:val="28"/>
          <w:lang w:val="en-US" w:eastAsia="zh-CN" w:bidi="ar"/>
        </w:rPr>
        <w:t>1、资金预算明细度不够；</w:t>
      </w:r>
      <w:bookmarkEnd w:id="199"/>
      <w:bookmarkEnd w:id="200"/>
      <w:bookmarkEnd w:id="201"/>
      <w:bookmarkEnd w:id="202"/>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甘肃省人民代表大会常务委员会办公厅在资金的使用过程中严格按照《甘肃省人大常委会机关财务管理办法》的要求对资金使用过程进行管理。单位在进行年初预算的时候，对各项工作的预算不够细化、明确。</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outlineLvl w:val="1"/>
        <w:rPr>
          <w:rFonts w:hint="default" w:ascii="仿宋_GB2312" w:hAnsi="仿宋_GB2312" w:eastAsia="仿宋_GB2312" w:cs="仿宋_GB2312"/>
          <w:b w:val="0"/>
          <w:bCs w:val="0"/>
          <w:color w:val="000000"/>
          <w:kern w:val="0"/>
          <w:sz w:val="28"/>
          <w:szCs w:val="28"/>
          <w:lang w:val="en-US" w:eastAsia="zh-CN" w:bidi="ar"/>
        </w:rPr>
      </w:pPr>
      <w:bookmarkStart w:id="203" w:name="_Toc3079"/>
      <w:bookmarkStart w:id="204" w:name="_Toc8643"/>
      <w:bookmarkStart w:id="205" w:name="_Toc22215"/>
      <w:bookmarkStart w:id="206" w:name="_Toc5872"/>
      <w:r>
        <w:rPr>
          <w:rFonts w:hint="eastAsia" w:ascii="仿宋_GB2312" w:hAnsi="仿宋_GB2312" w:eastAsia="仿宋_GB2312" w:cs="仿宋_GB2312"/>
          <w:b w:val="0"/>
          <w:bCs w:val="0"/>
          <w:color w:val="000000"/>
          <w:kern w:val="0"/>
          <w:sz w:val="28"/>
          <w:szCs w:val="28"/>
          <w:lang w:val="en-US" w:eastAsia="zh-CN" w:bidi="ar"/>
        </w:rPr>
        <w:t>2、社会人群满意度提升困难；</w:t>
      </w:r>
      <w:bookmarkEnd w:id="203"/>
      <w:bookmarkEnd w:id="204"/>
      <w:bookmarkEnd w:id="205"/>
      <w:bookmarkEnd w:id="206"/>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甘肃地广人稀，一些偏远地区经济还相对落后，因此甘肃省人民代表大会常务委员会组织的各类宣传活动很难做到全覆盖，再加上文化水平参差不齐，很难做到让每一位社会群众都知晓甘肃省人民代表大会常务委员会的工作以及完全理解省人大常委会所颁布的新的法律条例等，因此造成社会人群满意度很难提升的问题。</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val="en-US" w:eastAsia="zh-CN"/>
        </w:rPr>
      </w:pPr>
      <w:bookmarkStart w:id="207" w:name="_Toc1497"/>
      <w:bookmarkStart w:id="208" w:name="_Toc11668"/>
      <w:bookmarkStart w:id="209" w:name="_Toc16551"/>
      <w:bookmarkStart w:id="210" w:name="_Toc16717"/>
      <w:r>
        <w:rPr>
          <w:rFonts w:hint="eastAsia" w:ascii="仿宋" w:hAnsi="仿宋" w:eastAsia="仿宋" w:cs="仿宋"/>
          <w:b/>
          <w:bCs/>
          <w:sz w:val="30"/>
          <w:szCs w:val="30"/>
          <w:lang w:val="en-US" w:eastAsia="zh-CN"/>
        </w:rPr>
        <w:t>七、下一步改进建议</w:t>
      </w:r>
      <w:bookmarkEnd w:id="207"/>
      <w:bookmarkEnd w:id="208"/>
      <w:bookmarkEnd w:id="209"/>
      <w:bookmarkEnd w:id="210"/>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outlineLvl w:val="1"/>
        <w:rPr>
          <w:rFonts w:hint="eastAsia" w:ascii="仿宋_GB2312" w:hAnsi="仿宋_GB2312" w:eastAsia="仿宋_GB2312" w:cs="仿宋_GB2312"/>
          <w:color w:val="000000"/>
          <w:kern w:val="0"/>
          <w:sz w:val="28"/>
          <w:szCs w:val="28"/>
          <w:lang w:val="en-US" w:eastAsia="zh-CN" w:bidi="ar"/>
        </w:rPr>
      </w:pPr>
      <w:bookmarkStart w:id="211" w:name="_Toc6770"/>
      <w:bookmarkStart w:id="212" w:name="_Toc7439"/>
      <w:bookmarkStart w:id="213" w:name="_Toc17497"/>
      <w:bookmarkStart w:id="214" w:name="_Toc18271"/>
      <w:r>
        <w:rPr>
          <w:rFonts w:hint="eastAsia" w:ascii="仿宋_GB2312" w:hAnsi="仿宋_GB2312" w:eastAsia="仿宋_GB2312" w:cs="仿宋_GB2312"/>
          <w:color w:val="000000"/>
          <w:kern w:val="0"/>
          <w:sz w:val="28"/>
          <w:szCs w:val="28"/>
          <w:lang w:val="en-US" w:eastAsia="zh-CN" w:bidi="ar"/>
        </w:rPr>
        <w:t>1、建立健全财务管理制度及预算管理制度</w:t>
      </w:r>
      <w:bookmarkEnd w:id="211"/>
      <w:bookmarkEnd w:id="212"/>
      <w:bookmarkEnd w:id="213"/>
      <w:bookmarkEnd w:id="214"/>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立法工作是人大常委会工作的重中之重，下一步，甘肃省人民代表大会常务委员会将结合自身实际情况及立法工作特点，</w:t>
      </w:r>
      <w:r>
        <w:rPr>
          <w:rFonts w:hint="eastAsia" w:ascii="仿宋_GB2312" w:hAnsi="仿宋_GB2312" w:eastAsia="仿宋_GB2312" w:cs="仿宋_GB2312"/>
          <w:color w:val="auto"/>
          <w:kern w:val="0"/>
          <w:sz w:val="28"/>
          <w:szCs w:val="28"/>
          <w:lang w:val="en-US" w:eastAsia="zh-CN" w:bidi="ar"/>
        </w:rPr>
        <w:t>力争在接下来的工作中，让立法专项财务管理工作更加规范化、细致化，做到专款专用；同时，细化预算申报过程，将每一项工作细化、量化，做到申报预算有理有据。</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outlineLvl w:val="1"/>
        <w:rPr>
          <w:rFonts w:hint="eastAsia" w:ascii="仿宋_GB2312" w:hAnsi="仿宋_GB2312" w:eastAsia="仿宋_GB2312" w:cs="仿宋_GB2312"/>
          <w:color w:val="auto"/>
          <w:kern w:val="0"/>
          <w:sz w:val="28"/>
          <w:szCs w:val="28"/>
          <w:lang w:val="en-US" w:eastAsia="zh-CN" w:bidi="ar"/>
        </w:rPr>
      </w:pPr>
      <w:bookmarkStart w:id="215" w:name="_Toc16712"/>
      <w:bookmarkStart w:id="216" w:name="_Toc32362"/>
      <w:bookmarkStart w:id="217" w:name="_Toc11807"/>
      <w:bookmarkStart w:id="218" w:name="_Toc1660"/>
      <w:r>
        <w:rPr>
          <w:rFonts w:hint="eastAsia" w:ascii="仿宋_GB2312" w:hAnsi="仿宋_GB2312" w:eastAsia="仿宋_GB2312" w:cs="仿宋_GB2312"/>
          <w:color w:val="auto"/>
          <w:kern w:val="0"/>
          <w:sz w:val="28"/>
          <w:szCs w:val="28"/>
          <w:lang w:val="en-US" w:eastAsia="zh-CN" w:bidi="ar"/>
        </w:rPr>
        <w:t>2、加强宣传力度，提升社会人群满意度</w:t>
      </w:r>
      <w:bookmarkEnd w:id="215"/>
      <w:bookmarkEnd w:id="216"/>
      <w:bookmarkEnd w:id="217"/>
      <w:bookmarkEnd w:id="218"/>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结合各地现状特色，有效发挥基层立法联系点作用，开展多种形式的宣传活动，鼓励各市州、县市人大及基层立法联系点工作人员走下去、到人民群众中去，切实倾听、了解基层人民群众意愿，并反馈应用到立法工作中，使得立法工作能够解决甘肃省社会发展的实际存在问题，杜绝纸上谈兵现象的出现；对现有已设立法律条例等为基层群众做好切实的普法宣传讲解，解决甘肃省人民群众的切身利益问题，有效促进甘肃省经济社会的发展及社会的长治久安。</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val="en-US" w:eastAsia="zh-CN"/>
        </w:rPr>
      </w:pPr>
      <w:bookmarkStart w:id="219" w:name="_Toc25819"/>
      <w:bookmarkStart w:id="220" w:name="_Toc21405"/>
      <w:bookmarkStart w:id="221" w:name="_Toc23551"/>
      <w:bookmarkStart w:id="222" w:name="_Toc30154"/>
      <w:r>
        <w:rPr>
          <w:rFonts w:hint="eastAsia" w:ascii="仿宋" w:hAnsi="仿宋" w:eastAsia="仿宋" w:cs="仿宋"/>
          <w:b/>
          <w:bCs/>
          <w:sz w:val="30"/>
          <w:szCs w:val="30"/>
          <w:lang w:val="en-US" w:eastAsia="zh-CN"/>
        </w:rPr>
        <w:t>八、其他需要说明的问题</w:t>
      </w:r>
      <w:bookmarkEnd w:id="219"/>
      <w:bookmarkEnd w:id="220"/>
      <w:bookmarkEnd w:id="221"/>
      <w:bookmarkEnd w:id="222"/>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400"/>
        <w:jc w:val="left"/>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无</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400"/>
        <w:jc w:val="left"/>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400"/>
        <w:jc w:val="left"/>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400"/>
        <w:jc w:val="left"/>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400"/>
        <w:jc w:val="left"/>
        <w:textAlignment w:val="auto"/>
        <w:rPr>
          <w:rFonts w:hint="eastAsia" w:ascii="仿宋_GB2312" w:hAnsi="仿宋_GB2312" w:eastAsia="仿宋_GB2312" w:cs="仿宋_GB2312"/>
          <w:color w:val="000000"/>
          <w:kern w:val="0"/>
          <w:sz w:val="28"/>
          <w:szCs w:val="28"/>
          <w:lang w:val="en-US" w:eastAsia="zh-CN" w:bidi="ar"/>
        </w:rPr>
        <w:sectPr>
          <w:footerReference r:id="rId4" w:type="default"/>
          <w:pgSz w:w="11906" w:h="16838"/>
          <w:pgMar w:top="1440" w:right="1800" w:bottom="1440" w:left="1800" w:header="851" w:footer="992" w:gutter="0"/>
          <w:cols w:space="425" w:num="1"/>
          <w:docGrid w:type="lines" w:linePitch="312" w:charSpace="0"/>
        </w:sectPr>
      </w:pP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outlineLvl w:val="0"/>
        <w:rPr>
          <w:rFonts w:hint="eastAsia" w:ascii="仿宋_GB2312" w:hAnsi="仿宋_GB2312" w:eastAsia="仿宋_GB2312" w:cs="仿宋_GB2312"/>
          <w:color w:val="000000"/>
          <w:kern w:val="0"/>
          <w:sz w:val="28"/>
          <w:szCs w:val="28"/>
          <w:lang w:val="en-US" w:eastAsia="zh-CN" w:bidi="ar"/>
        </w:rPr>
      </w:pPr>
      <w:bookmarkStart w:id="223" w:name="_Toc6270"/>
      <w:bookmarkStart w:id="224" w:name="_Toc18436"/>
      <w:bookmarkStart w:id="225" w:name="_Toc19251"/>
      <w:bookmarkStart w:id="226" w:name="_Toc30234"/>
      <w:r>
        <w:rPr>
          <w:rFonts w:hint="eastAsia" w:ascii="仿宋_GB2312" w:hAnsi="仿宋_GB2312" w:eastAsia="仿宋_GB2312" w:cs="仿宋_GB2312"/>
          <w:color w:val="000000"/>
          <w:kern w:val="0"/>
          <w:sz w:val="28"/>
          <w:szCs w:val="28"/>
          <w:lang w:val="en-US" w:eastAsia="zh-CN" w:bidi="ar"/>
        </w:rPr>
        <w:t xml:space="preserve">附件 </w:t>
      </w:r>
      <w:bookmarkStart w:id="227" w:name="_GoBack"/>
      <w:bookmarkEnd w:id="227"/>
      <w:r>
        <w:rPr>
          <w:rFonts w:hint="eastAsia" w:ascii="仿宋_GB2312" w:hAnsi="仿宋_GB2312" w:eastAsia="仿宋_GB2312" w:cs="仿宋_GB2312"/>
          <w:color w:val="000000"/>
          <w:kern w:val="0"/>
          <w:sz w:val="28"/>
          <w:szCs w:val="28"/>
          <w:lang w:val="en-US" w:eastAsia="zh-CN" w:bidi="ar"/>
        </w:rPr>
        <w:t>综合评分表</w:t>
      </w:r>
      <w:bookmarkEnd w:id="223"/>
      <w:bookmarkEnd w:id="224"/>
      <w:bookmarkEnd w:id="225"/>
      <w:bookmarkEnd w:id="226"/>
    </w:p>
    <w:tbl>
      <w:tblPr>
        <w:tblStyle w:val="15"/>
        <w:tblW w:w="14053" w:type="dxa"/>
        <w:tblInd w:w="0" w:type="dxa"/>
        <w:tblLayout w:type="fixed"/>
        <w:tblCellMar>
          <w:top w:w="0" w:type="dxa"/>
          <w:left w:w="108" w:type="dxa"/>
          <w:bottom w:w="0" w:type="dxa"/>
          <w:right w:w="108" w:type="dxa"/>
        </w:tblCellMar>
      </w:tblPr>
      <w:tblGrid>
        <w:gridCol w:w="671"/>
        <w:gridCol w:w="705"/>
        <w:gridCol w:w="709"/>
        <w:gridCol w:w="709"/>
        <w:gridCol w:w="709"/>
        <w:gridCol w:w="709"/>
        <w:gridCol w:w="817"/>
        <w:gridCol w:w="3300"/>
        <w:gridCol w:w="1320"/>
        <w:gridCol w:w="2268"/>
        <w:gridCol w:w="960"/>
        <w:gridCol w:w="1176"/>
      </w:tblGrid>
      <w:tr>
        <w:tblPrEx>
          <w:tblLayout w:type="fixed"/>
          <w:tblCellMar>
            <w:top w:w="0" w:type="dxa"/>
            <w:left w:w="108" w:type="dxa"/>
            <w:bottom w:w="0" w:type="dxa"/>
            <w:right w:w="108" w:type="dxa"/>
          </w:tblCellMar>
        </w:tblPrEx>
        <w:trPr>
          <w:trHeight w:val="454" w:hRule="atLeast"/>
          <w:tblHeader/>
        </w:trPr>
        <w:tc>
          <w:tcPr>
            <w:tcW w:w="671"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eastAsia="仿宋_GB2312"/>
                <w:b/>
                <w:color w:val="auto"/>
                <w:kern w:val="0"/>
                <w:sz w:val="22"/>
              </w:rPr>
            </w:pPr>
            <w:r>
              <w:rPr>
                <w:rFonts w:hint="eastAsia" w:eastAsia="仿宋_GB2312"/>
                <w:b/>
                <w:color w:val="auto"/>
                <w:kern w:val="0"/>
                <w:sz w:val="22"/>
              </w:rPr>
              <w:t>一级指标</w:t>
            </w:r>
          </w:p>
        </w:tc>
        <w:tc>
          <w:tcPr>
            <w:tcW w:w="705"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eastAsia="仿宋_GB2312"/>
                <w:b/>
                <w:color w:val="auto"/>
                <w:kern w:val="0"/>
                <w:sz w:val="22"/>
              </w:rPr>
            </w:pPr>
            <w:r>
              <w:rPr>
                <w:rFonts w:hint="eastAsia" w:eastAsia="仿宋_GB2312"/>
                <w:b/>
                <w:color w:val="auto"/>
                <w:kern w:val="0"/>
                <w:sz w:val="22"/>
              </w:rPr>
              <w:t>分值</w:t>
            </w:r>
          </w:p>
        </w:tc>
        <w:tc>
          <w:tcPr>
            <w:tcW w:w="709"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eastAsia="仿宋_GB2312"/>
                <w:b/>
                <w:color w:val="auto"/>
                <w:kern w:val="0"/>
                <w:sz w:val="22"/>
              </w:rPr>
            </w:pPr>
            <w:r>
              <w:rPr>
                <w:rFonts w:hint="eastAsia" w:eastAsia="仿宋_GB2312"/>
                <w:b/>
                <w:color w:val="auto"/>
                <w:kern w:val="0"/>
                <w:sz w:val="22"/>
              </w:rPr>
              <w:t>二级指标</w:t>
            </w:r>
          </w:p>
        </w:tc>
        <w:tc>
          <w:tcPr>
            <w:tcW w:w="709"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eastAsia="仿宋_GB2312"/>
                <w:b/>
                <w:color w:val="auto"/>
                <w:kern w:val="0"/>
                <w:sz w:val="22"/>
              </w:rPr>
            </w:pPr>
            <w:r>
              <w:rPr>
                <w:rFonts w:hint="eastAsia" w:eastAsia="仿宋_GB2312"/>
                <w:b/>
                <w:color w:val="auto"/>
                <w:kern w:val="0"/>
                <w:sz w:val="22"/>
              </w:rPr>
              <w:t>分值</w:t>
            </w:r>
          </w:p>
        </w:tc>
        <w:tc>
          <w:tcPr>
            <w:tcW w:w="709"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eastAsia="仿宋_GB2312"/>
                <w:b/>
                <w:color w:val="auto"/>
                <w:kern w:val="0"/>
                <w:sz w:val="22"/>
              </w:rPr>
            </w:pPr>
            <w:r>
              <w:rPr>
                <w:rFonts w:hint="eastAsia" w:eastAsia="仿宋_GB2312"/>
                <w:b/>
                <w:color w:val="auto"/>
                <w:kern w:val="0"/>
                <w:sz w:val="22"/>
              </w:rPr>
              <w:t>三级指标</w:t>
            </w:r>
          </w:p>
        </w:tc>
        <w:tc>
          <w:tcPr>
            <w:tcW w:w="709"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eastAsia="仿宋_GB2312"/>
                <w:b/>
                <w:color w:val="auto"/>
                <w:kern w:val="0"/>
                <w:sz w:val="22"/>
              </w:rPr>
            </w:pPr>
            <w:r>
              <w:rPr>
                <w:rFonts w:hint="eastAsia" w:eastAsia="仿宋_GB2312"/>
                <w:b/>
                <w:color w:val="auto"/>
                <w:kern w:val="0"/>
                <w:sz w:val="22"/>
              </w:rPr>
              <w:t>分值</w:t>
            </w:r>
          </w:p>
        </w:tc>
        <w:tc>
          <w:tcPr>
            <w:tcW w:w="817"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eastAsia="仿宋_GB2312"/>
                <w:b/>
                <w:color w:val="auto"/>
                <w:kern w:val="0"/>
                <w:sz w:val="22"/>
              </w:rPr>
            </w:pPr>
            <w:r>
              <w:rPr>
                <w:rFonts w:hint="eastAsia" w:eastAsia="仿宋_GB2312"/>
                <w:b/>
                <w:color w:val="auto"/>
                <w:kern w:val="0"/>
                <w:sz w:val="22"/>
              </w:rPr>
              <w:t>标杆值</w:t>
            </w:r>
          </w:p>
        </w:tc>
        <w:tc>
          <w:tcPr>
            <w:tcW w:w="3300" w:type="dxa"/>
            <w:tcBorders>
              <w:top w:val="single" w:color="auto" w:sz="4" w:space="0"/>
              <w:left w:val="single" w:color="auto" w:sz="4" w:space="0"/>
              <w:bottom w:val="single" w:color="auto" w:sz="4" w:space="0"/>
              <w:right w:val="single" w:color="auto" w:sz="4" w:space="0"/>
            </w:tcBorders>
            <w:shd w:val="clear" w:color="auto" w:fill="BFBFBF"/>
            <w:vAlign w:val="center"/>
          </w:tcPr>
          <w:p>
            <w:pPr>
              <w:widowControl/>
              <w:jc w:val="center"/>
              <w:rPr>
                <w:rFonts w:ascii="Calibri" w:hAnsi="Calibri" w:eastAsia="仿宋_GB2312" w:cs="Times New Roman"/>
                <w:b/>
                <w:color w:val="auto"/>
                <w:kern w:val="0"/>
                <w:sz w:val="22"/>
                <w:szCs w:val="24"/>
                <w:lang w:val="en-US" w:eastAsia="zh-CN" w:bidi="ar-SA"/>
              </w:rPr>
            </w:pPr>
            <w:r>
              <w:rPr>
                <w:rFonts w:hint="eastAsia" w:eastAsia="仿宋_GB2312"/>
                <w:b/>
                <w:color w:val="auto"/>
                <w:kern w:val="0"/>
                <w:sz w:val="22"/>
              </w:rPr>
              <w:t>评价标准</w:t>
            </w:r>
          </w:p>
        </w:tc>
        <w:tc>
          <w:tcPr>
            <w:tcW w:w="1320"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hint="default" w:eastAsia="仿宋_GB2312"/>
                <w:b/>
                <w:color w:val="auto"/>
                <w:kern w:val="0"/>
                <w:sz w:val="22"/>
                <w:lang w:val="en-US" w:eastAsia="zh-CN"/>
              </w:rPr>
            </w:pPr>
            <w:r>
              <w:rPr>
                <w:rFonts w:hint="eastAsia" w:eastAsia="仿宋_GB2312"/>
                <w:b/>
                <w:color w:val="auto"/>
                <w:kern w:val="0"/>
                <w:sz w:val="22"/>
                <w:lang w:val="en-US" w:eastAsia="zh-CN"/>
              </w:rPr>
              <w:t>数据来源</w:t>
            </w:r>
          </w:p>
        </w:tc>
        <w:tc>
          <w:tcPr>
            <w:tcW w:w="2268"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hint="default" w:eastAsia="仿宋_GB2312"/>
                <w:b/>
                <w:color w:val="auto"/>
                <w:kern w:val="0"/>
                <w:sz w:val="22"/>
                <w:lang w:val="en-US" w:eastAsia="zh-CN"/>
              </w:rPr>
            </w:pPr>
            <w:r>
              <w:rPr>
                <w:rFonts w:hint="eastAsia" w:eastAsia="仿宋_GB2312"/>
                <w:b/>
                <w:color w:val="auto"/>
                <w:kern w:val="0"/>
                <w:sz w:val="22"/>
                <w:lang w:val="en-US" w:eastAsia="zh-CN"/>
              </w:rPr>
              <w:t>评分过程及依据</w:t>
            </w:r>
          </w:p>
        </w:tc>
        <w:tc>
          <w:tcPr>
            <w:tcW w:w="960"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hint="default" w:eastAsia="仿宋_GB2312"/>
                <w:b/>
                <w:color w:val="auto"/>
                <w:kern w:val="0"/>
                <w:sz w:val="22"/>
                <w:lang w:val="en-US" w:eastAsia="zh-CN"/>
              </w:rPr>
            </w:pPr>
            <w:r>
              <w:rPr>
                <w:rFonts w:hint="eastAsia" w:eastAsia="仿宋_GB2312"/>
                <w:b/>
                <w:color w:val="auto"/>
                <w:kern w:val="0"/>
                <w:sz w:val="22"/>
                <w:lang w:val="en-US" w:eastAsia="zh-CN"/>
              </w:rPr>
              <w:t>指标得分</w:t>
            </w:r>
          </w:p>
        </w:tc>
        <w:tc>
          <w:tcPr>
            <w:tcW w:w="1176" w:type="dxa"/>
            <w:tcBorders>
              <w:top w:val="single" w:color="auto" w:sz="4" w:space="0"/>
              <w:left w:val="nil"/>
              <w:bottom w:val="single" w:color="auto" w:sz="4" w:space="0"/>
              <w:right w:val="single" w:color="auto" w:sz="4" w:space="0"/>
            </w:tcBorders>
            <w:shd w:val="clear" w:color="auto" w:fill="BFBFBF"/>
            <w:vAlign w:val="center"/>
          </w:tcPr>
          <w:p>
            <w:pPr>
              <w:widowControl/>
              <w:jc w:val="center"/>
              <w:rPr>
                <w:rFonts w:hint="default" w:eastAsia="仿宋_GB2312"/>
                <w:b/>
                <w:color w:val="auto"/>
                <w:kern w:val="0"/>
                <w:sz w:val="22"/>
                <w:lang w:val="en-US" w:eastAsia="zh-CN"/>
              </w:rPr>
            </w:pPr>
            <w:r>
              <w:rPr>
                <w:rFonts w:hint="eastAsia" w:eastAsia="仿宋_GB2312"/>
                <w:b/>
                <w:color w:val="auto"/>
                <w:kern w:val="0"/>
                <w:sz w:val="22"/>
                <w:lang w:val="en-US" w:eastAsia="zh-CN"/>
              </w:rPr>
              <w:t>得分率</w:t>
            </w:r>
          </w:p>
        </w:tc>
      </w:tr>
      <w:tr>
        <w:tblPrEx>
          <w:tblLayout w:type="fixed"/>
          <w:tblCellMar>
            <w:top w:w="0" w:type="dxa"/>
            <w:left w:w="108" w:type="dxa"/>
            <w:bottom w:w="0" w:type="dxa"/>
            <w:right w:w="108" w:type="dxa"/>
          </w:tblCellMar>
        </w:tblPrEx>
        <w:trPr>
          <w:trHeight w:val="1272" w:hRule="atLeast"/>
        </w:trPr>
        <w:tc>
          <w:tcPr>
            <w:tcW w:w="671" w:type="dxa"/>
            <w:vMerge w:val="restart"/>
            <w:tcBorders>
              <w:top w:val="single" w:color="auto" w:sz="4" w:space="0"/>
              <w:left w:val="single" w:color="auto" w:sz="4" w:space="0"/>
              <w:bottom w:val="single" w:color="auto" w:sz="4" w:space="0"/>
              <w:right w:val="nil"/>
            </w:tcBorders>
            <w:vAlign w:val="center"/>
          </w:tcPr>
          <w:p>
            <w:pPr>
              <w:widowControl/>
              <w:jc w:val="center"/>
              <w:rPr>
                <w:rFonts w:eastAsia="仿宋_GB2312"/>
                <w:color w:val="auto"/>
                <w:kern w:val="0"/>
                <w:sz w:val="22"/>
              </w:rPr>
            </w:pPr>
            <w:r>
              <w:rPr>
                <w:rFonts w:hint="eastAsia" w:eastAsia="仿宋_GB2312"/>
                <w:color w:val="auto"/>
                <w:kern w:val="0"/>
                <w:sz w:val="22"/>
              </w:rPr>
              <w:t>项目决策</w:t>
            </w:r>
          </w:p>
        </w:tc>
        <w:tc>
          <w:tcPr>
            <w:tcW w:w="7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20</w:t>
            </w:r>
          </w:p>
        </w:tc>
        <w:tc>
          <w:tcPr>
            <w:tcW w:w="709" w:type="dxa"/>
            <w:vMerge w:val="restart"/>
            <w:tcBorders>
              <w:top w:val="single" w:color="auto" w:sz="4" w:space="0"/>
              <w:left w:val="nil"/>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项目目标</w:t>
            </w:r>
          </w:p>
        </w:tc>
        <w:tc>
          <w:tcPr>
            <w:tcW w:w="709" w:type="dxa"/>
            <w:vMerge w:val="restart"/>
            <w:tcBorders>
              <w:top w:val="single" w:color="auto" w:sz="4" w:space="0"/>
              <w:left w:val="nil"/>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eastAsia="zh-CN"/>
              </w:rPr>
              <w:t>8</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项目总目标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val="en-US" w:eastAsia="zh-CN"/>
              </w:rPr>
              <w:t>4</w:t>
            </w:r>
          </w:p>
        </w:tc>
        <w:tc>
          <w:tcPr>
            <w:tcW w:w="817" w:type="dxa"/>
            <w:vMerge w:val="restart"/>
            <w:tcBorders>
              <w:top w:val="single" w:color="auto" w:sz="4" w:space="0"/>
              <w:left w:val="nil"/>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明确、细化、量化</w:t>
            </w:r>
          </w:p>
        </w:tc>
        <w:tc>
          <w:tcPr>
            <w:tcW w:w="3300" w:type="dxa"/>
            <w:vMerge w:val="restart"/>
            <w:tcBorders>
              <w:top w:val="single" w:color="auto" w:sz="4" w:space="0"/>
              <w:left w:val="single" w:color="auto" w:sz="4" w:space="0"/>
              <w:right w:val="single" w:color="auto" w:sz="4" w:space="0"/>
            </w:tcBorders>
            <w:vAlign w:val="center"/>
          </w:tcPr>
          <w:p>
            <w:pPr>
              <w:widowControl/>
              <w:rPr>
                <w:rFonts w:ascii="Calibri" w:hAnsi="Calibri" w:eastAsia="仿宋_GB2312" w:cs="Times New Roman"/>
                <w:color w:val="auto"/>
                <w:kern w:val="0"/>
                <w:sz w:val="22"/>
                <w:szCs w:val="24"/>
                <w:lang w:val="en-US" w:eastAsia="zh-CN" w:bidi="ar-SA"/>
              </w:rPr>
            </w:pPr>
            <w:r>
              <w:rPr>
                <w:rFonts w:hint="eastAsia" w:eastAsia="仿宋_GB2312"/>
                <w:color w:val="auto"/>
                <w:kern w:val="0"/>
                <w:sz w:val="22"/>
              </w:rPr>
              <w:t>目标明确（</w:t>
            </w:r>
            <w:r>
              <w:rPr>
                <w:rFonts w:hint="eastAsia" w:eastAsia="仿宋_GB2312"/>
                <w:color w:val="auto"/>
                <w:kern w:val="0"/>
                <w:sz w:val="22"/>
                <w:lang w:val="en-US" w:eastAsia="zh-CN"/>
              </w:rPr>
              <w:t>2</w:t>
            </w:r>
            <w:r>
              <w:rPr>
                <w:rFonts w:hint="eastAsia" w:eastAsia="仿宋_GB2312"/>
                <w:color w:val="auto"/>
                <w:kern w:val="0"/>
                <w:sz w:val="22"/>
              </w:rPr>
              <w:t>分），目标细化（</w:t>
            </w:r>
            <w:r>
              <w:rPr>
                <w:rFonts w:hint="eastAsia" w:eastAsia="仿宋_GB2312"/>
                <w:color w:val="auto"/>
                <w:kern w:val="0"/>
                <w:sz w:val="22"/>
                <w:lang w:val="en-US" w:eastAsia="zh-CN"/>
              </w:rPr>
              <w:t>2</w:t>
            </w:r>
            <w:r>
              <w:rPr>
                <w:rFonts w:hint="eastAsia" w:eastAsia="仿宋_GB2312"/>
                <w:color w:val="auto"/>
                <w:kern w:val="0"/>
                <w:sz w:val="22"/>
              </w:rPr>
              <w:t>分），目标量化（</w:t>
            </w:r>
            <w:r>
              <w:rPr>
                <w:rFonts w:hint="eastAsia" w:eastAsia="仿宋_GB2312"/>
                <w:color w:val="auto"/>
                <w:kern w:val="0"/>
                <w:sz w:val="22"/>
                <w:lang w:val="en-US" w:eastAsia="zh-CN"/>
              </w:rPr>
              <w:t>4</w:t>
            </w:r>
            <w:r>
              <w:rPr>
                <w:rFonts w:hint="eastAsia" w:eastAsia="仿宋_GB2312"/>
                <w:color w:val="auto"/>
                <w:kern w:val="0"/>
                <w:sz w:val="22"/>
              </w:rPr>
              <w:t>分）</w:t>
            </w:r>
          </w:p>
        </w:tc>
        <w:tc>
          <w:tcPr>
            <w:tcW w:w="1320" w:type="dxa"/>
            <w:vMerge w:val="restart"/>
            <w:tcBorders>
              <w:top w:val="single" w:color="auto" w:sz="4" w:space="0"/>
              <w:left w:val="nil"/>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2019年度工作计划、2019年度绩效目标申报表</w:t>
            </w:r>
          </w:p>
        </w:tc>
        <w:tc>
          <w:tcPr>
            <w:tcW w:w="2268" w:type="dxa"/>
            <w:vMerge w:val="restart"/>
            <w:tcBorders>
              <w:top w:val="single" w:color="auto" w:sz="4" w:space="0"/>
              <w:left w:val="nil"/>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2019年工作计划及年度绩效目标申报表中有明确的项目目标及年度绩效目标，且各指标均细化、量化，该项指标得满分</w:t>
            </w:r>
          </w:p>
        </w:tc>
        <w:tc>
          <w:tcPr>
            <w:tcW w:w="960" w:type="dxa"/>
            <w:vMerge w:val="restart"/>
            <w:tcBorders>
              <w:top w:val="single" w:color="auto" w:sz="4" w:space="0"/>
              <w:left w:val="nil"/>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8</w:t>
            </w:r>
          </w:p>
        </w:tc>
        <w:tc>
          <w:tcPr>
            <w:tcW w:w="1176" w:type="dxa"/>
            <w:vMerge w:val="restart"/>
            <w:tcBorders>
              <w:top w:val="single" w:color="auto" w:sz="4" w:space="0"/>
              <w:left w:val="nil"/>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623" w:hRule="atLeast"/>
        </w:trPr>
        <w:tc>
          <w:tcPr>
            <w:tcW w:w="671" w:type="dxa"/>
            <w:vMerge w:val="continue"/>
            <w:tcBorders>
              <w:left w:val="single" w:color="auto" w:sz="4" w:space="0"/>
              <w:right w:val="nil"/>
            </w:tcBorders>
            <w:vAlign w:val="center"/>
          </w:tcPr>
          <w:p>
            <w:pPr>
              <w:widowControl/>
              <w:jc w:val="center"/>
              <w:rPr>
                <w:rFonts w:hint="eastAsia" w:eastAsia="仿宋_GB2312"/>
                <w:color w:val="auto"/>
                <w:kern w:val="0"/>
                <w:sz w:val="22"/>
              </w:rPr>
            </w:pPr>
          </w:p>
        </w:tc>
        <w:tc>
          <w:tcPr>
            <w:tcW w:w="705" w:type="dxa"/>
            <w:vMerge w:val="continue"/>
            <w:tcBorders>
              <w:left w:val="single" w:color="auto" w:sz="4" w:space="0"/>
              <w:right w:val="single" w:color="auto" w:sz="4" w:space="0"/>
            </w:tcBorders>
            <w:vAlign w:val="center"/>
          </w:tcPr>
          <w:p>
            <w:pPr>
              <w:widowControl/>
              <w:jc w:val="center"/>
              <w:rPr>
                <w:rFonts w:hint="eastAsia" w:eastAsia="仿宋_GB2312"/>
                <w:color w:val="auto"/>
                <w:kern w:val="0"/>
                <w:sz w:val="22"/>
              </w:rPr>
            </w:pPr>
          </w:p>
        </w:tc>
        <w:tc>
          <w:tcPr>
            <w:tcW w:w="709" w:type="dxa"/>
            <w:vMerge w:val="continue"/>
            <w:tcBorders>
              <w:left w:val="nil"/>
              <w:bottom w:val="single" w:color="auto" w:sz="4" w:space="0"/>
              <w:right w:val="single" w:color="auto" w:sz="4" w:space="0"/>
            </w:tcBorders>
            <w:vAlign w:val="center"/>
          </w:tcPr>
          <w:p>
            <w:pPr>
              <w:widowControl/>
              <w:jc w:val="center"/>
              <w:rPr>
                <w:rFonts w:hint="eastAsia" w:eastAsia="仿宋_GB2312"/>
                <w:color w:val="auto"/>
                <w:kern w:val="0"/>
                <w:sz w:val="22"/>
              </w:rPr>
            </w:pPr>
          </w:p>
        </w:tc>
        <w:tc>
          <w:tcPr>
            <w:tcW w:w="709" w:type="dxa"/>
            <w:vMerge w:val="continue"/>
            <w:tcBorders>
              <w:left w:val="nil"/>
              <w:bottom w:val="single" w:color="auto" w:sz="4" w:space="0"/>
              <w:right w:val="single" w:color="auto" w:sz="4" w:space="0"/>
            </w:tcBorders>
            <w:vAlign w:val="center"/>
          </w:tcPr>
          <w:p>
            <w:pPr>
              <w:widowControl/>
              <w:jc w:val="center"/>
              <w:rPr>
                <w:rFonts w:hint="eastAsia" w:eastAsia="仿宋_GB2312"/>
                <w:color w:val="auto"/>
                <w:kern w:val="0"/>
                <w:sz w:val="22"/>
                <w:lang w:eastAsia="zh-CN"/>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年度绩效目标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4</w:t>
            </w:r>
          </w:p>
        </w:tc>
        <w:tc>
          <w:tcPr>
            <w:tcW w:w="817" w:type="dxa"/>
            <w:vMerge w:val="continue"/>
            <w:tcBorders>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p>
        </w:tc>
        <w:tc>
          <w:tcPr>
            <w:tcW w:w="3300" w:type="dxa"/>
            <w:vMerge w:val="continue"/>
            <w:tcBorders>
              <w:left w:val="single" w:color="auto" w:sz="4" w:space="0"/>
              <w:bottom w:val="single" w:color="auto" w:sz="4" w:space="0"/>
              <w:right w:val="single" w:color="auto" w:sz="4" w:space="0"/>
            </w:tcBorders>
            <w:vAlign w:val="center"/>
          </w:tcPr>
          <w:p>
            <w:pPr>
              <w:widowControl/>
              <w:rPr>
                <w:rFonts w:hint="eastAsia" w:eastAsia="仿宋_GB2312"/>
                <w:color w:val="auto"/>
                <w:kern w:val="0"/>
                <w:sz w:val="22"/>
              </w:rPr>
            </w:pPr>
          </w:p>
        </w:tc>
        <w:tc>
          <w:tcPr>
            <w:tcW w:w="1320" w:type="dxa"/>
            <w:vMerge w:val="continue"/>
            <w:tcBorders>
              <w:left w:val="nil"/>
              <w:bottom w:val="single" w:color="auto" w:sz="4" w:space="0"/>
              <w:right w:val="single" w:color="auto" w:sz="4" w:space="0"/>
            </w:tcBorders>
            <w:vAlign w:val="center"/>
          </w:tcPr>
          <w:p>
            <w:pPr>
              <w:widowControl/>
              <w:rPr>
                <w:rFonts w:hint="eastAsia" w:eastAsia="仿宋_GB2312"/>
                <w:color w:val="auto"/>
                <w:kern w:val="0"/>
                <w:sz w:val="22"/>
                <w:lang w:val="en-US" w:eastAsia="zh-CN"/>
              </w:rPr>
            </w:pPr>
          </w:p>
        </w:tc>
        <w:tc>
          <w:tcPr>
            <w:tcW w:w="2268" w:type="dxa"/>
            <w:vMerge w:val="continue"/>
            <w:tcBorders>
              <w:left w:val="nil"/>
              <w:bottom w:val="single" w:color="auto" w:sz="4" w:space="0"/>
              <w:right w:val="single" w:color="auto" w:sz="4" w:space="0"/>
            </w:tcBorders>
            <w:vAlign w:val="center"/>
          </w:tcPr>
          <w:p>
            <w:pPr>
              <w:widowControl/>
              <w:rPr>
                <w:rFonts w:eastAsia="仿宋_GB2312"/>
                <w:color w:val="auto"/>
                <w:kern w:val="0"/>
                <w:sz w:val="22"/>
              </w:rPr>
            </w:pPr>
          </w:p>
        </w:tc>
        <w:tc>
          <w:tcPr>
            <w:tcW w:w="960" w:type="dxa"/>
            <w:vMerge w:val="continue"/>
            <w:tcBorders>
              <w:left w:val="nil"/>
              <w:bottom w:val="single" w:color="auto" w:sz="4" w:space="0"/>
              <w:right w:val="single" w:color="auto" w:sz="4" w:space="0"/>
            </w:tcBorders>
            <w:vAlign w:val="center"/>
          </w:tcPr>
          <w:p>
            <w:pPr>
              <w:widowControl/>
              <w:jc w:val="center"/>
              <w:rPr>
                <w:rFonts w:eastAsia="仿宋_GB2312"/>
                <w:color w:val="auto"/>
                <w:kern w:val="0"/>
                <w:sz w:val="22"/>
              </w:rPr>
            </w:pPr>
          </w:p>
        </w:tc>
        <w:tc>
          <w:tcPr>
            <w:tcW w:w="1176" w:type="dxa"/>
            <w:vMerge w:val="continue"/>
            <w:tcBorders>
              <w:left w:val="nil"/>
              <w:bottom w:val="single" w:color="auto" w:sz="4" w:space="0"/>
              <w:right w:val="single" w:color="auto" w:sz="4" w:space="0"/>
            </w:tcBorders>
            <w:vAlign w:val="center"/>
          </w:tcPr>
          <w:p>
            <w:pPr>
              <w:widowControl/>
              <w:jc w:val="center"/>
              <w:rPr>
                <w:rFonts w:eastAsia="仿宋_GB2312"/>
                <w:color w:val="auto"/>
                <w:kern w:val="0"/>
                <w:sz w:val="22"/>
              </w:rPr>
            </w:pPr>
          </w:p>
        </w:tc>
      </w:tr>
      <w:tr>
        <w:tblPrEx>
          <w:tblLayout w:type="fixed"/>
          <w:tblCellMar>
            <w:top w:w="0" w:type="dxa"/>
            <w:left w:w="108" w:type="dxa"/>
            <w:bottom w:w="0" w:type="dxa"/>
            <w:right w:w="108" w:type="dxa"/>
          </w:tblCellMar>
        </w:tblPrEx>
        <w:trPr>
          <w:trHeight w:val="1872" w:hRule="atLeast"/>
        </w:trPr>
        <w:tc>
          <w:tcPr>
            <w:tcW w:w="671" w:type="dxa"/>
            <w:vMerge w:val="continue"/>
            <w:tcBorders>
              <w:top w:val="single" w:color="auto" w:sz="4" w:space="0"/>
              <w:left w:val="single" w:color="auto" w:sz="4" w:space="0"/>
              <w:bottom w:val="single" w:color="auto" w:sz="4" w:space="0"/>
              <w:right w:val="nil"/>
            </w:tcBorders>
            <w:vAlign w:val="center"/>
          </w:tcPr>
          <w:p>
            <w:pPr>
              <w:widowControl/>
              <w:jc w:val="center"/>
              <w:rPr>
                <w:rFonts w:eastAsia="仿宋_GB2312"/>
                <w:color w:val="auto"/>
                <w:kern w:val="0"/>
                <w:sz w:val="22"/>
              </w:rPr>
            </w:pPr>
          </w:p>
        </w:tc>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决策过程</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color w:val="auto"/>
                <w:kern w:val="0"/>
                <w:sz w:val="22"/>
              </w:rPr>
            </w:pPr>
            <w:r>
              <w:rPr>
                <w:rFonts w:hint="eastAsia" w:eastAsia="仿宋_GB2312"/>
                <w:color w:val="auto"/>
                <w:kern w:val="0"/>
                <w:sz w:val="22"/>
                <w:lang w:eastAsia="zh-CN"/>
              </w:rPr>
              <w:t>1</w:t>
            </w:r>
            <w:r>
              <w:rPr>
                <w:rFonts w:hint="eastAsia" w:eastAsia="仿宋_GB2312"/>
                <w:color w:val="auto"/>
                <w:kern w:val="0"/>
                <w:sz w:val="22"/>
                <w:lang w:val="en-US" w:eastAsia="zh-CN"/>
              </w:rPr>
              <w:t>2</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决策依据</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eastAsia="zh-CN"/>
              </w:rPr>
              <w:t>6</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充分</w:t>
            </w:r>
          </w:p>
        </w:tc>
        <w:tc>
          <w:tcPr>
            <w:tcW w:w="3300" w:type="dxa"/>
            <w:tcBorders>
              <w:top w:val="single" w:color="auto" w:sz="4" w:space="0"/>
              <w:left w:val="single" w:color="auto" w:sz="4" w:space="0"/>
              <w:bottom w:val="single" w:color="auto" w:sz="4" w:space="0"/>
              <w:right w:val="single" w:color="auto" w:sz="4" w:space="0"/>
            </w:tcBorders>
            <w:vAlign w:val="center"/>
          </w:tcPr>
          <w:p>
            <w:pPr>
              <w:widowControl/>
              <w:rPr>
                <w:rFonts w:ascii="Calibri" w:hAnsi="Calibri" w:eastAsia="仿宋_GB2312" w:cs="Times New Roman"/>
                <w:color w:val="auto"/>
                <w:kern w:val="0"/>
                <w:sz w:val="22"/>
                <w:szCs w:val="24"/>
                <w:lang w:val="en-US" w:eastAsia="zh-CN" w:bidi="ar-SA"/>
              </w:rPr>
            </w:pPr>
            <w:r>
              <w:rPr>
                <w:rFonts w:hint="eastAsia" w:eastAsia="仿宋_GB2312"/>
                <w:color w:val="auto"/>
                <w:kern w:val="0"/>
                <w:sz w:val="22"/>
              </w:rPr>
              <w:t>项目符合经济社会发展规划和部门年度工作计划（</w:t>
            </w:r>
            <w:r>
              <w:rPr>
                <w:rFonts w:hint="eastAsia" w:eastAsia="仿宋_GB2312"/>
                <w:color w:val="auto"/>
                <w:kern w:val="0"/>
                <w:sz w:val="22"/>
                <w:lang w:val="en-US" w:eastAsia="zh-CN"/>
              </w:rPr>
              <w:t>4</w:t>
            </w:r>
            <w:r>
              <w:rPr>
                <w:rFonts w:hint="eastAsia" w:eastAsia="仿宋_GB2312"/>
                <w:color w:val="auto"/>
                <w:kern w:val="0"/>
                <w:sz w:val="22"/>
              </w:rPr>
              <w:t>分），根据需要制定中长期实施规划（</w:t>
            </w:r>
            <w:r>
              <w:rPr>
                <w:rFonts w:hint="eastAsia" w:eastAsia="仿宋_GB2312"/>
                <w:color w:val="auto"/>
                <w:kern w:val="0"/>
                <w:sz w:val="22"/>
                <w:lang w:val="en-US" w:eastAsia="zh-CN"/>
              </w:rPr>
              <w:t>2</w:t>
            </w:r>
            <w:r>
              <w:rPr>
                <w:rFonts w:hint="eastAsia" w:eastAsia="仿宋_GB2312"/>
                <w:color w:val="auto"/>
                <w:kern w:val="0"/>
                <w:sz w:val="22"/>
              </w:rPr>
              <w:t>分）</w:t>
            </w:r>
          </w:p>
        </w:tc>
        <w:tc>
          <w:tcPr>
            <w:tcW w:w="1320" w:type="dxa"/>
            <w:vMerge w:val="restart"/>
            <w:tcBorders>
              <w:top w:val="single" w:color="auto" w:sz="4" w:space="0"/>
              <w:left w:val="nil"/>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项目立项、批复文件及预算申报、批复文件，2019年度工作计划</w:t>
            </w:r>
          </w:p>
        </w:tc>
        <w:tc>
          <w:tcPr>
            <w:tcW w:w="2268" w:type="dxa"/>
            <w:vMerge w:val="restart"/>
            <w:tcBorders>
              <w:top w:val="single" w:color="auto" w:sz="4" w:space="0"/>
              <w:left w:val="nil"/>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该项目立项、批复文件及预算申报、批复文件，2019年度工作计划完整、明确，决策依据充分，决策程序符合政府规定，该项指标得满分</w:t>
            </w:r>
          </w:p>
        </w:tc>
        <w:tc>
          <w:tcPr>
            <w:tcW w:w="960"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6</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2030" w:hRule="atLeast"/>
        </w:trPr>
        <w:tc>
          <w:tcPr>
            <w:tcW w:w="671" w:type="dxa"/>
            <w:vMerge w:val="continue"/>
            <w:tcBorders>
              <w:top w:val="single" w:color="auto" w:sz="4" w:space="0"/>
              <w:left w:val="single" w:color="auto" w:sz="4" w:space="0"/>
              <w:bottom w:val="single" w:color="auto" w:sz="4" w:space="0"/>
              <w:right w:val="nil"/>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决策程序</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val="en-US" w:eastAsia="zh-CN"/>
              </w:rPr>
              <w:t>6</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规范</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auto"/>
                <w:kern w:val="0"/>
                <w:sz w:val="22"/>
                <w:szCs w:val="24"/>
                <w:lang w:val="en-US" w:eastAsia="zh-CN" w:bidi="ar-SA"/>
              </w:rPr>
            </w:pPr>
            <w:r>
              <w:rPr>
                <w:rFonts w:hint="eastAsia" w:eastAsia="仿宋_GB2312"/>
                <w:color w:val="auto"/>
                <w:kern w:val="0"/>
                <w:sz w:val="22"/>
              </w:rPr>
              <w:t>项目符合申报条件（2分），申报、批复程序符合相关管理办法（2分），项目实施调整履行相应手续（</w:t>
            </w:r>
            <w:r>
              <w:rPr>
                <w:rFonts w:hint="eastAsia" w:eastAsia="仿宋_GB2312"/>
                <w:color w:val="auto"/>
                <w:kern w:val="0"/>
                <w:sz w:val="22"/>
                <w:lang w:val="en-US" w:eastAsia="zh-CN"/>
              </w:rPr>
              <w:t>2</w:t>
            </w:r>
            <w:r>
              <w:rPr>
                <w:rFonts w:hint="eastAsia" w:eastAsia="仿宋_GB2312"/>
                <w:color w:val="auto"/>
                <w:kern w:val="0"/>
                <w:sz w:val="22"/>
              </w:rPr>
              <w:t>分）</w:t>
            </w:r>
          </w:p>
        </w:tc>
        <w:tc>
          <w:tcPr>
            <w:tcW w:w="1320" w:type="dxa"/>
            <w:vMerge w:val="continue"/>
            <w:tcBorders>
              <w:left w:val="nil"/>
              <w:bottom w:val="single" w:color="auto" w:sz="4" w:space="0"/>
              <w:right w:val="single" w:color="auto" w:sz="4" w:space="0"/>
            </w:tcBorders>
            <w:vAlign w:val="center"/>
          </w:tcPr>
          <w:p>
            <w:pPr>
              <w:widowControl/>
              <w:rPr>
                <w:rFonts w:eastAsia="仿宋_GB2312"/>
                <w:color w:val="auto"/>
                <w:kern w:val="0"/>
                <w:sz w:val="22"/>
              </w:rPr>
            </w:pPr>
          </w:p>
        </w:tc>
        <w:tc>
          <w:tcPr>
            <w:tcW w:w="2268" w:type="dxa"/>
            <w:vMerge w:val="continue"/>
            <w:tcBorders>
              <w:left w:val="nil"/>
              <w:bottom w:val="single" w:color="auto" w:sz="4" w:space="0"/>
              <w:right w:val="single" w:color="auto" w:sz="4" w:space="0"/>
            </w:tcBorders>
            <w:vAlign w:val="center"/>
          </w:tcPr>
          <w:p>
            <w:pPr>
              <w:widowControl/>
              <w:rPr>
                <w:rFonts w:eastAsia="仿宋_GB2312"/>
                <w:color w:val="auto"/>
                <w:kern w:val="0"/>
                <w:sz w:val="22"/>
              </w:rPr>
            </w:pP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6</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1194" w:hRule="atLeast"/>
        </w:trPr>
        <w:tc>
          <w:tcPr>
            <w:tcW w:w="6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项目管理</w:t>
            </w:r>
          </w:p>
        </w:tc>
        <w:tc>
          <w:tcPr>
            <w:tcW w:w="70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25</w:t>
            </w:r>
          </w:p>
        </w:tc>
        <w:tc>
          <w:tcPr>
            <w:tcW w:w="709" w:type="dxa"/>
            <w:vMerge w:val="restart"/>
            <w:tcBorders>
              <w:top w:val="nil"/>
              <w:left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lang w:val="en-US" w:eastAsia="zh-CN"/>
              </w:rPr>
              <w:t>资金投入</w:t>
            </w:r>
          </w:p>
        </w:tc>
        <w:tc>
          <w:tcPr>
            <w:tcW w:w="709" w:type="dxa"/>
            <w:vMerge w:val="restart"/>
            <w:tcBorders>
              <w:top w:val="nil"/>
              <w:left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eastAsia="zh-CN"/>
              </w:rPr>
              <w:t>5</w:t>
            </w: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lang w:val="en-US" w:eastAsia="zh-CN"/>
              </w:rPr>
              <w:t>预算编制</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eastAsia="zh-CN"/>
              </w:rPr>
              <w:t>2</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kern w:val="0"/>
                <w:sz w:val="22"/>
                <w:lang w:eastAsia="zh-CN"/>
              </w:rPr>
            </w:pPr>
            <w:r>
              <w:rPr>
                <w:rFonts w:hint="eastAsia" w:eastAsia="仿宋_GB2312"/>
                <w:color w:val="auto"/>
                <w:kern w:val="0"/>
                <w:sz w:val="22"/>
                <w:lang w:val="en-US" w:eastAsia="zh-CN"/>
              </w:rPr>
              <w:t>科学</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预算编制科学合理</w:t>
            </w:r>
            <w:r>
              <w:rPr>
                <w:rFonts w:hint="eastAsia" w:eastAsia="仿宋_GB2312"/>
                <w:color w:val="auto"/>
                <w:kern w:val="0"/>
                <w:sz w:val="22"/>
              </w:rPr>
              <w:t>得分（</w:t>
            </w:r>
            <w:r>
              <w:rPr>
                <w:rFonts w:hint="eastAsia" w:eastAsia="仿宋_GB2312"/>
                <w:color w:val="auto"/>
                <w:kern w:val="0"/>
                <w:sz w:val="22"/>
                <w:lang w:val="en-US" w:eastAsia="zh-CN"/>
              </w:rPr>
              <w:t>2</w:t>
            </w:r>
            <w:r>
              <w:rPr>
                <w:rFonts w:hint="eastAsia" w:eastAsia="仿宋_GB2312"/>
                <w:color w:val="auto"/>
                <w:kern w:val="0"/>
                <w:sz w:val="22"/>
              </w:rPr>
              <w:t>分）</w:t>
            </w:r>
          </w:p>
        </w:tc>
        <w:tc>
          <w:tcPr>
            <w:tcW w:w="1320" w:type="dxa"/>
            <w:vMerge w:val="restart"/>
            <w:tcBorders>
              <w:top w:val="nil"/>
              <w:left w:val="nil"/>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预算编制明细、资金支出明细、预算申报材料</w:t>
            </w:r>
          </w:p>
        </w:tc>
        <w:tc>
          <w:tcPr>
            <w:tcW w:w="2268" w:type="dxa"/>
            <w:vMerge w:val="restart"/>
            <w:tcBorders>
              <w:top w:val="nil"/>
              <w:left w:val="nil"/>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该专项资金预算编制测算过程和测算不够细化，根据打分规则，该项指标得50%权重分值；</w:t>
            </w:r>
          </w:p>
        </w:tc>
        <w:tc>
          <w:tcPr>
            <w:tcW w:w="960"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50%</w:t>
            </w:r>
          </w:p>
        </w:tc>
      </w:tr>
      <w:tr>
        <w:tblPrEx>
          <w:tblLayout w:type="fixed"/>
          <w:tblCellMar>
            <w:top w:w="0" w:type="dxa"/>
            <w:left w:w="108" w:type="dxa"/>
            <w:bottom w:w="0" w:type="dxa"/>
            <w:right w:w="108" w:type="dxa"/>
          </w:tblCellMar>
        </w:tblPrEx>
        <w:trPr>
          <w:trHeight w:val="1280" w:hRule="atLeast"/>
        </w:trPr>
        <w:tc>
          <w:tcPr>
            <w:tcW w:w="671" w:type="dxa"/>
            <w:vMerge w:val="continue"/>
            <w:tcBorders>
              <w:left w:val="single" w:color="auto" w:sz="4" w:space="0"/>
              <w:right w:val="single" w:color="auto" w:sz="4" w:space="0"/>
            </w:tcBorders>
            <w:vAlign w:val="center"/>
          </w:tcPr>
          <w:p>
            <w:pPr>
              <w:widowControl/>
              <w:jc w:val="center"/>
              <w:rPr>
                <w:rFonts w:hint="eastAsia" w:eastAsia="仿宋_GB2312"/>
                <w:color w:val="auto"/>
                <w:kern w:val="0"/>
                <w:sz w:val="22"/>
              </w:rPr>
            </w:pPr>
          </w:p>
        </w:tc>
        <w:tc>
          <w:tcPr>
            <w:tcW w:w="705" w:type="dxa"/>
            <w:vMerge w:val="continue"/>
            <w:tcBorders>
              <w:left w:val="single" w:color="auto" w:sz="4" w:space="0"/>
              <w:right w:val="single" w:color="auto" w:sz="4" w:space="0"/>
            </w:tcBorders>
            <w:vAlign w:val="center"/>
          </w:tcPr>
          <w:p>
            <w:pPr>
              <w:widowControl/>
              <w:jc w:val="center"/>
              <w:rPr>
                <w:rFonts w:hint="eastAsia" w:eastAsia="仿宋_GB2312"/>
                <w:color w:val="auto"/>
                <w:kern w:val="0"/>
                <w:sz w:val="22"/>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hint="eastAsia" w:eastAsia="仿宋_GB2312"/>
                <w:color w:val="auto"/>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资金分配</w:t>
            </w: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1.5</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合理</w:t>
            </w:r>
          </w:p>
        </w:tc>
        <w:tc>
          <w:tcPr>
            <w:tcW w:w="3300" w:type="dxa"/>
            <w:tcBorders>
              <w:top w:val="nil"/>
              <w:left w:val="single" w:color="auto" w:sz="4" w:space="0"/>
              <w:bottom w:val="single" w:color="auto" w:sz="4" w:space="0"/>
              <w:right w:val="single" w:color="auto" w:sz="4" w:space="0"/>
            </w:tcBorders>
            <w:vAlign w:val="center"/>
          </w:tcPr>
          <w:p>
            <w:pPr>
              <w:widowControl/>
              <w:rPr>
                <w:rFonts w:hint="default"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根据具体情况合理分配得（3分）</w:t>
            </w:r>
          </w:p>
        </w:tc>
        <w:tc>
          <w:tcPr>
            <w:tcW w:w="1320" w:type="dxa"/>
            <w:vMerge w:val="continue"/>
            <w:tcBorders>
              <w:left w:val="nil"/>
              <w:bottom w:val="single" w:color="auto" w:sz="4" w:space="0"/>
              <w:right w:val="single" w:color="auto" w:sz="4" w:space="0"/>
            </w:tcBorders>
            <w:vAlign w:val="center"/>
          </w:tcPr>
          <w:p>
            <w:pPr>
              <w:widowControl/>
              <w:rPr>
                <w:rFonts w:hint="default" w:eastAsia="仿宋_GB2312"/>
                <w:color w:val="auto"/>
                <w:kern w:val="0"/>
                <w:sz w:val="22"/>
                <w:lang w:val="en-US"/>
              </w:rPr>
            </w:pPr>
          </w:p>
        </w:tc>
        <w:tc>
          <w:tcPr>
            <w:tcW w:w="2268" w:type="dxa"/>
            <w:vMerge w:val="continue"/>
            <w:tcBorders>
              <w:left w:val="nil"/>
              <w:bottom w:val="single" w:color="auto" w:sz="4" w:space="0"/>
              <w:right w:val="single" w:color="auto" w:sz="4" w:space="0"/>
            </w:tcBorders>
            <w:vAlign w:val="center"/>
          </w:tcPr>
          <w:p>
            <w:pPr>
              <w:widowControl/>
              <w:rPr>
                <w:rFonts w:hint="default" w:eastAsia="仿宋_GB2312"/>
                <w:color w:val="auto"/>
                <w:kern w:val="0"/>
                <w:sz w:val="22"/>
                <w:lang w:val="en-US"/>
              </w:rPr>
            </w:pPr>
          </w:p>
        </w:tc>
        <w:tc>
          <w:tcPr>
            <w:tcW w:w="960"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1.5</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50%</w:t>
            </w:r>
          </w:p>
        </w:tc>
      </w:tr>
      <w:tr>
        <w:tblPrEx>
          <w:tblLayout w:type="fixed"/>
          <w:tblCellMar>
            <w:top w:w="0" w:type="dxa"/>
            <w:left w:w="108" w:type="dxa"/>
            <w:bottom w:w="0" w:type="dxa"/>
            <w:right w:w="108" w:type="dxa"/>
          </w:tblCellMar>
        </w:tblPrEx>
        <w:trPr>
          <w:trHeight w:val="2158"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restart"/>
            <w:tcBorders>
              <w:top w:val="nil"/>
              <w:left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资金管理</w:t>
            </w:r>
          </w:p>
        </w:tc>
        <w:tc>
          <w:tcPr>
            <w:tcW w:w="709" w:type="dxa"/>
            <w:vMerge w:val="restart"/>
            <w:tcBorders>
              <w:top w:val="nil"/>
              <w:left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10</w:t>
            </w: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资金到位率</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val="en-US" w:eastAsia="zh-CN"/>
              </w:rPr>
              <w:t>6</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c>
          <w:tcPr>
            <w:tcW w:w="3300" w:type="dxa"/>
            <w:tcBorders>
              <w:top w:val="nil"/>
              <w:left w:val="single" w:color="auto" w:sz="4" w:space="0"/>
              <w:bottom w:val="single" w:color="auto" w:sz="4" w:space="0"/>
              <w:right w:val="single" w:color="auto" w:sz="4" w:space="0"/>
            </w:tcBorders>
            <w:vAlign w:val="center"/>
          </w:tcPr>
          <w:p>
            <w:pPr>
              <w:widowControl/>
              <w:rPr>
                <w:rFonts w:hint="default" w:ascii="Calibri" w:hAnsi="Calibri" w:eastAsia="仿宋_GB2312" w:cs="Times New Roman"/>
                <w:color w:val="auto"/>
                <w:kern w:val="0"/>
                <w:sz w:val="22"/>
                <w:szCs w:val="24"/>
                <w:lang w:val="en-US" w:eastAsia="zh-CN" w:bidi="ar-SA"/>
              </w:rPr>
            </w:pPr>
            <w:r>
              <w:rPr>
                <w:rFonts w:hint="eastAsia" w:eastAsia="仿宋_GB2312" w:cs="Times New Roman"/>
                <w:color w:val="auto"/>
                <w:kern w:val="0"/>
                <w:sz w:val="22"/>
                <w:szCs w:val="24"/>
                <w:lang w:val="en-US" w:eastAsia="zh-CN" w:bidi="ar-SA"/>
              </w:rPr>
              <w:t>资金落实程度；资金到位率=实际到位资金/预算安排*100%；当年度，资金准确到位，保障项目正常实施得6分；每降低1%扣除5%分值，扣完为止；</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预算资金拨付文件，支付凭证及明细账</w:t>
            </w:r>
          </w:p>
        </w:tc>
        <w:tc>
          <w:tcPr>
            <w:tcW w:w="2268"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该专项资金预算申报、批复文件明晰、明确，资金支付凭证完整，根据打分规则，该项指标得满分；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6</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2874"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rPr>
            </w:pPr>
            <w:r>
              <w:rPr>
                <w:rFonts w:hint="eastAsia" w:eastAsia="仿宋_GB2312"/>
                <w:color w:val="auto"/>
                <w:kern w:val="0"/>
                <w:sz w:val="22"/>
                <w:lang w:val="en-US" w:eastAsia="zh-CN"/>
              </w:rPr>
              <w:t>预算执行率</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val="en-US" w:eastAsia="zh-CN"/>
              </w:rPr>
              <w:t>3</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考察资金使用情况，预算执行率=实际支出资金/实际到位资金*100%，</w:t>
            </w:r>
            <w:r>
              <w:rPr>
                <w:rFonts w:hint="eastAsia" w:eastAsia="仿宋_GB2312"/>
                <w:color w:val="auto"/>
                <w:kern w:val="0"/>
                <w:sz w:val="22"/>
              </w:rPr>
              <w:t>严格执行（1</w:t>
            </w:r>
            <w:r>
              <w:rPr>
                <w:rFonts w:hint="eastAsia" w:eastAsia="仿宋_GB2312"/>
                <w:color w:val="auto"/>
                <w:kern w:val="0"/>
                <w:sz w:val="22"/>
                <w:lang w:val="en-US" w:eastAsia="zh-CN"/>
              </w:rPr>
              <w:t>.5</w:t>
            </w:r>
            <w:r>
              <w:rPr>
                <w:rFonts w:hint="eastAsia" w:eastAsia="仿宋_GB2312"/>
                <w:color w:val="auto"/>
                <w:kern w:val="0"/>
                <w:sz w:val="22"/>
              </w:rPr>
              <w:t>分），会计核算规范（1</w:t>
            </w:r>
            <w:r>
              <w:rPr>
                <w:rFonts w:hint="eastAsia" w:eastAsia="仿宋_GB2312"/>
                <w:color w:val="auto"/>
                <w:kern w:val="0"/>
                <w:sz w:val="22"/>
                <w:lang w:val="en-US" w:eastAsia="zh-CN"/>
              </w:rPr>
              <w:t>.5</w:t>
            </w:r>
            <w:r>
              <w:rPr>
                <w:rFonts w:hint="eastAsia" w:eastAsia="仿宋_GB2312"/>
                <w:color w:val="auto"/>
                <w:kern w:val="0"/>
                <w:sz w:val="22"/>
              </w:rPr>
              <w:t>分）。</w:t>
            </w:r>
          </w:p>
        </w:tc>
        <w:tc>
          <w:tcPr>
            <w:tcW w:w="1320"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预算资金拨付文件，支付凭证及明细账</w:t>
            </w:r>
          </w:p>
        </w:tc>
        <w:tc>
          <w:tcPr>
            <w:tcW w:w="2268"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该专项资金使用情况严格规范，资金使用年底结余资金为0；预算执行率达到100%，根据打分规则，该项指标得满分；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3</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3432"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资金使用合规性</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1</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规范</w:t>
            </w:r>
          </w:p>
        </w:tc>
        <w:tc>
          <w:tcPr>
            <w:tcW w:w="3300" w:type="dxa"/>
            <w:tcBorders>
              <w:top w:val="nil"/>
              <w:left w:val="single" w:color="auto" w:sz="4" w:space="0"/>
              <w:bottom w:val="single" w:color="auto" w:sz="4" w:space="0"/>
              <w:right w:val="single" w:color="auto" w:sz="4" w:space="0"/>
            </w:tcBorders>
            <w:vAlign w:val="center"/>
          </w:tcPr>
          <w:p>
            <w:pPr>
              <w:widowControl/>
              <w:rPr>
                <w:rFonts w:hint="default"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过程规范、合规（1分）</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财务管理制度、资金支出明细、凭证</w:t>
            </w:r>
          </w:p>
        </w:tc>
        <w:tc>
          <w:tcPr>
            <w:tcW w:w="2268"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该项目资金的使用过程规范、合规，资金的拨付使用有完整的审批程序和手续，不存在截留、挤占、挪用、序列支出其他项目资金等情况；根据评分标准，该项指标得满分；</w:t>
            </w:r>
          </w:p>
        </w:tc>
        <w:tc>
          <w:tcPr>
            <w:tcW w:w="960"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3624"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组织实施</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10</w:t>
            </w: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组织机构</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val="en-US" w:eastAsia="zh-CN"/>
              </w:rPr>
              <w:t>5</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健全</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auto"/>
                <w:kern w:val="0"/>
                <w:sz w:val="22"/>
                <w:szCs w:val="24"/>
                <w:lang w:val="en-US" w:eastAsia="zh-CN" w:bidi="ar-SA"/>
              </w:rPr>
            </w:pPr>
            <w:r>
              <w:rPr>
                <w:rFonts w:hint="eastAsia" w:eastAsia="仿宋_GB2312"/>
                <w:color w:val="auto"/>
                <w:kern w:val="0"/>
                <w:sz w:val="22"/>
              </w:rPr>
              <w:t>机构健全、分工明确（</w:t>
            </w:r>
            <w:r>
              <w:rPr>
                <w:rFonts w:hint="eastAsia" w:eastAsia="仿宋_GB2312"/>
                <w:color w:val="auto"/>
                <w:kern w:val="0"/>
                <w:sz w:val="22"/>
                <w:lang w:val="en-US" w:eastAsia="zh-CN"/>
              </w:rPr>
              <w:t>5</w:t>
            </w:r>
            <w:r>
              <w:rPr>
                <w:rFonts w:hint="eastAsia" w:eastAsia="仿宋_GB2312"/>
                <w:color w:val="auto"/>
                <w:kern w:val="0"/>
                <w:sz w:val="22"/>
              </w:rPr>
              <w:t>分）</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2019年工作计划、部门内部基本情况简介</w:t>
            </w:r>
          </w:p>
        </w:tc>
        <w:tc>
          <w:tcPr>
            <w:tcW w:w="2268"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该项目由甘肃省人民代表大会常务委员会办公厅主导，部门内其他业务科室配合负责，机构健全，分工明确，根据打分规则，该项指标得满分；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5</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288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rPr>
              <w:t>管理制度</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000000"/>
                <w:kern w:val="0"/>
                <w:sz w:val="22"/>
              </w:rPr>
            </w:pPr>
            <w:r>
              <w:rPr>
                <w:rFonts w:hint="eastAsia" w:eastAsia="仿宋_GB2312"/>
                <w:color w:val="000000"/>
                <w:kern w:val="0"/>
                <w:sz w:val="22"/>
                <w:lang w:eastAsia="zh-CN"/>
              </w:rPr>
              <w:t>5</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rPr>
              <w:t>健全</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000000"/>
                <w:kern w:val="0"/>
                <w:sz w:val="22"/>
                <w:szCs w:val="24"/>
                <w:lang w:val="en-US" w:eastAsia="zh-CN" w:bidi="ar-SA"/>
              </w:rPr>
            </w:pPr>
            <w:r>
              <w:rPr>
                <w:rFonts w:hint="eastAsia" w:eastAsia="仿宋_GB2312"/>
                <w:color w:val="000000"/>
                <w:kern w:val="0"/>
                <w:sz w:val="22"/>
              </w:rPr>
              <w:t>建立健全项目管理制度（2分）</w:t>
            </w:r>
            <w:r>
              <w:rPr>
                <w:rFonts w:hint="eastAsia" w:eastAsia="仿宋_GB2312"/>
                <w:color w:val="auto"/>
                <w:kern w:val="0"/>
                <w:sz w:val="22"/>
              </w:rPr>
              <w:t>财务制度健全（</w:t>
            </w:r>
            <w:r>
              <w:rPr>
                <w:rFonts w:hint="eastAsia" w:eastAsia="仿宋_GB2312"/>
                <w:color w:val="auto"/>
                <w:kern w:val="0"/>
                <w:sz w:val="22"/>
                <w:lang w:val="en-US" w:eastAsia="zh-CN"/>
              </w:rPr>
              <w:t>2</w:t>
            </w:r>
            <w:r>
              <w:rPr>
                <w:rFonts w:hint="eastAsia" w:eastAsia="仿宋_GB2312"/>
                <w:color w:val="auto"/>
                <w:kern w:val="0"/>
                <w:sz w:val="22"/>
              </w:rPr>
              <w:t>分）</w:t>
            </w:r>
            <w:r>
              <w:rPr>
                <w:rFonts w:hint="eastAsia" w:eastAsia="仿宋_GB2312"/>
                <w:color w:val="000000"/>
                <w:kern w:val="0"/>
                <w:sz w:val="22"/>
              </w:rPr>
              <w:t>；严格执行</w:t>
            </w:r>
            <w:r>
              <w:rPr>
                <w:rFonts w:hint="eastAsia" w:eastAsia="仿宋_GB2312"/>
                <w:color w:val="000000"/>
                <w:kern w:val="0"/>
                <w:sz w:val="22"/>
                <w:lang w:eastAsia="zh-CN"/>
              </w:rPr>
              <w:t>，</w:t>
            </w:r>
            <w:r>
              <w:rPr>
                <w:rFonts w:hint="eastAsia" w:eastAsia="仿宋_GB2312"/>
                <w:color w:val="000000"/>
                <w:kern w:val="0"/>
                <w:sz w:val="22"/>
              </w:rPr>
              <w:t>相关项目管理制度（</w:t>
            </w:r>
            <w:r>
              <w:rPr>
                <w:rFonts w:hint="eastAsia" w:eastAsia="仿宋_GB2312"/>
                <w:color w:val="000000"/>
                <w:kern w:val="0"/>
                <w:sz w:val="22"/>
                <w:lang w:val="en-US" w:eastAsia="zh-CN"/>
              </w:rPr>
              <w:t>1</w:t>
            </w:r>
            <w:r>
              <w:rPr>
                <w:rFonts w:hint="eastAsia" w:eastAsia="仿宋_GB2312"/>
                <w:color w:val="000000"/>
                <w:kern w:val="0"/>
                <w:sz w:val="22"/>
              </w:rPr>
              <w:t>分）</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000000"/>
                <w:kern w:val="0"/>
                <w:sz w:val="22"/>
                <w:lang w:val="en-US" w:eastAsia="zh-CN"/>
              </w:rPr>
            </w:pPr>
            <w:r>
              <w:rPr>
                <w:rFonts w:hint="eastAsia" w:eastAsia="仿宋_GB2312"/>
                <w:color w:val="000000"/>
                <w:kern w:val="0"/>
                <w:sz w:val="22"/>
                <w:lang w:val="en-US" w:eastAsia="zh-CN"/>
              </w:rPr>
              <w:t>项目管理制度、财务管理制度</w:t>
            </w:r>
          </w:p>
        </w:tc>
        <w:tc>
          <w:tcPr>
            <w:tcW w:w="2268" w:type="dxa"/>
            <w:tcBorders>
              <w:top w:val="nil"/>
              <w:left w:val="nil"/>
              <w:bottom w:val="single" w:color="auto" w:sz="4" w:space="0"/>
              <w:right w:val="single" w:color="auto" w:sz="4" w:space="0"/>
            </w:tcBorders>
            <w:vAlign w:val="center"/>
          </w:tcPr>
          <w:p>
            <w:pPr>
              <w:widowControl/>
              <w:rPr>
                <w:rFonts w:hint="default" w:eastAsia="仿宋_GB2312"/>
                <w:color w:val="000000"/>
                <w:kern w:val="0"/>
                <w:sz w:val="22"/>
                <w:lang w:val="en-US" w:eastAsia="zh-CN"/>
              </w:rPr>
            </w:pPr>
            <w:r>
              <w:rPr>
                <w:rFonts w:hint="eastAsia" w:eastAsia="仿宋_GB2312"/>
                <w:color w:val="000000"/>
                <w:kern w:val="0"/>
                <w:sz w:val="22"/>
                <w:lang w:val="en-US" w:eastAsia="zh-CN"/>
              </w:rPr>
              <w:t>评价组根据相关资料核查，部门有相关项目管理制度及财务管理制度，但过于宽泛，没有明确的针对本项目的香瓜制度，根据打分规则，该项指标得分为权重分值的40%；</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000000"/>
                <w:kern w:val="0"/>
                <w:sz w:val="22"/>
                <w:lang w:val="en-US" w:eastAsia="zh-CN"/>
              </w:rPr>
            </w:pPr>
            <w:r>
              <w:rPr>
                <w:rFonts w:hint="eastAsia" w:eastAsia="仿宋_GB2312"/>
                <w:color w:val="000000"/>
                <w:kern w:val="0"/>
                <w:sz w:val="22"/>
                <w:lang w:val="en-US" w:eastAsia="zh-CN"/>
              </w:rPr>
              <w:t>2</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40%</w:t>
            </w:r>
          </w:p>
        </w:tc>
      </w:tr>
      <w:tr>
        <w:tblPrEx>
          <w:tblLayout w:type="fixed"/>
          <w:tblCellMar>
            <w:top w:w="0" w:type="dxa"/>
            <w:left w:w="108" w:type="dxa"/>
            <w:bottom w:w="0" w:type="dxa"/>
            <w:right w:w="108" w:type="dxa"/>
          </w:tblCellMar>
        </w:tblPrEx>
        <w:trPr>
          <w:trHeight w:val="4668" w:hRule="atLeast"/>
        </w:trPr>
        <w:tc>
          <w:tcPr>
            <w:tcW w:w="671"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rPr>
              <w:t>项目绩效</w:t>
            </w:r>
          </w:p>
        </w:tc>
        <w:tc>
          <w:tcPr>
            <w:tcW w:w="705"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rPr>
              <w:t>55</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rPr>
              <w:t>项目产出</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color w:val="000000"/>
                <w:kern w:val="0"/>
                <w:sz w:val="22"/>
              </w:rPr>
            </w:pPr>
            <w:r>
              <w:rPr>
                <w:rFonts w:hint="eastAsia" w:eastAsia="仿宋_GB2312"/>
                <w:color w:val="000000"/>
                <w:kern w:val="0"/>
                <w:sz w:val="22"/>
                <w:lang w:eastAsia="zh-CN"/>
              </w:rPr>
              <w:t>3</w:t>
            </w:r>
            <w:r>
              <w:rPr>
                <w:rFonts w:hint="eastAsia" w:eastAsia="仿宋_GB2312"/>
                <w:color w:val="000000"/>
                <w:kern w:val="0"/>
                <w:sz w:val="22"/>
                <w:lang w:val="en-US" w:eastAsia="zh-CN"/>
              </w:rPr>
              <w:t>0</w:t>
            </w: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auto"/>
                <w:kern w:val="0"/>
                <w:sz w:val="22"/>
                <w:lang w:val="en-US" w:eastAsia="zh-CN"/>
              </w:rPr>
              <w:t>“陇原环保世纪行”工作</w:t>
            </w:r>
            <w:r>
              <w:rPr>
                <w:rFonts w:hint="eastAsia" w:eastAsia="仿宋_GB2312"/>
                <w:color w:val="000000"/>
                <w:kern w:val="0"/>
                <w:sz w:val="22"/>
              </w:rPr>
              <w:t>完成率</w:t>
            </w: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rPr>
            </w:pPr>
            <w:r>
              <w:rPr>
                <w:rFonts w:hint="eastAsia" w:eastAsia="仿宋_GB2312"/>
                <w:color w:val="000000"/>
                <w:kern w:val="0"/>
                <w:sz w:val="22"/>
                <w:lang w:val="en-US" w:eastAsia="zh-CN"/>
              </w:rPr>
              <w:t>3</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rPr>
              <w:t>100%</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FF0000"/>
                <w:kern w:val="0"/>
                <w:sz w:val="22"/>
                <w:szCs w:val="24"/>
                <w:lang w:val="en-US" w:eastAsia="zh-CN" w:bidi="ar-SA"/>
              </w:rPr>
            </w:pPr>
            <w:r>
              <w:rPr>
                <w:rFonts w:hint="eastAsia" w:eastAsia="仿宋_GB2312"/>
                <w:color w:val="auto"/>
                <w:kern w:val="0"/>
                <w:sz w:val="22"/>
              </w:rPr>
              <w:t>主要包括</w:t>
            </w:r>
            <w:r>
              <w:rPr>
                <w:rFonts w:hint="eastAsia" w:eastAsia="仿宋_GB2312"/>
                <w:color w:val="auto"/>
                <w:kern w:val="0"/>
                <w:sz w:val="22"/>
                <w:lang w:val="en-US" w:eastAsia="zh-CN"/>
              </w:rPr>
              <w:t>用于配合、接待中华环保世纪行组委会及办公室、记者团开展活动；组织我省记者团培训、集中采访、暗访；组委会会议、全省年度工作总结表彰会议；评选、表彰奖励全省好新闻；表彰奖励全省先进单位、先进工作者，新闻影音资料汇编出版；组织环境资源保护公益活动，日常办公及公文办理、资料、宣传器材购置维护等</w:t>
            </w:r>
            <w:r>
              <w:rPr>
                <w:rFonts w:hint="eastAsia" w:eastAsia="仿宋_GB2312"/>
                <w:color w:val="auto"/>
                <w:kern w:val="0"/>
                <w:sz w:val="22"/>
              </w:rPr>
              <w:t>。计划完成率=实际完成数/计划完成数*100%，达到100%（</w:t>
            </w:r>
            <w:r>
              <w:rPr>
                <w:rFonts w:hint="eastAsia" w:eastAsia="仿宋_GB2312"/>
                <w:color w:val="auto"/>
                <w:kern w:val="0"/>
                <w:sz w:val="22"/>
                <w:lang w:eastAsia="zh-CN"/>
              </w:rPr>
              <w:t>1</w:t>
            </w:r>
            <w:r>
              <w:rPr>
                <w:rFonts w:hint="eastAsia" w:eastAsia="仿宋_GB2312"/>
                <w:color w:val="auto"/>
                <w:kern w:val="0"/>
                <w:sz w:val="22"/>
                <w:lang w:val="en-US" w:eastAsia="zh-CN"/>
              </w:rPr>
              <w:t>2</w:t>
            </w:r>
            <w:r>
              <w:rPr>
                <w:rFonts w:hint="eastAsia" w:eastAsia="仿宋_GB2312"/>
                <w:color w:val="auto"/>
                <w:kern w:val="0"/>
                <w:sz w:val="22"/>
              </w:rPr>
              <w:t>分），每降低1%，扣除5%权重分，扣完为止。</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FF0000"/>
                <w:kern w:val="0"/>
                <w:sz w:val="22"/>
                <w:lang w:val="en-US"/>
              </w:rPr>
            </w:pPr>
            <w:r>
              <w:rPr>
                <w:rFonts w:hint="eastAsia" w:eastAsia="仿宋_GB2312"/>
                <w:color w:val="auto"/>
                <w:kern w:val="0"/>
                <w:sz w:val="22"/>
                <w:lang w:val="en-US" w:eastAsia="zh-CN"/>
              </w:rPr>
              <w:t>“陇原环保世纪行”工作计划及年终工作总结</w:t>
            </w:r>
          </w:p>
        </w:tc>
        <w:tc>
          <w:tcPr>
            <w:tcW w:w="2268" w:type="dxa"/>
            <w:tcBorders>
              <w:top w:val="nil"/>
              <w:left w:val="nil"/>
              <w:bottom w:val="single" w:color="auto" w:sz="4" w:space="0"/>
              <w:right w:val="single" w:color="auto" w:sz="4" w:space="0"/>
            </w:tcBorders>
            <w:vAlign w:val="center"/>
          </w:tcPr>
          <w:p>
            <w:pPr>
              <w:widowControl/>
              <w:rPr>
                <w:rFonts w:hint="default" w:eastAsia="仿宋_GB2312"/>
                <w:color w:val="FF0000"/>
                <w:kern w:val="0"/>
                <w:sz w:val="22"/>
                <w:lang w:val="en-US" w:eastAsia="zh-CN"/>
              </w:rPr>
            </w:pPr>
            <w:r>
              <w:rPr>
                <w:rFonts w:hint="eastAsia" w:eastAsia="仿宋_GB2312"/>
                <w:color w:val="auto"/>
                <w:kern w:val="0"/>
                <w:sz w:val="22"/>
                <w:lang w:val="en-US" w:eastAsia="zh-CN"/>
              </w:rPr>
              <w:t>经评价组通过对单位工作计划及年终工作总结审查，该项目“陇原环保世纪行”工作已完全按照部门年初工作计划及设定的量化指标完成最初设定的目标，（详见部门自评表）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3</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90" w:hRule="atLeast"/>
        </w:trPr>
        <w:tc>
          <w:tcPr>
            <w:tcW w:w="671" w:type="dxa"/>
            <w:vMerge w:val="continue"/>
            <w:tcBorders>
              <w:left w:val="single" w:color="auto" w:sz="4" w:space="0"/>
              <w:right w:val="single" w:color="auto" w:sz="4" w:space="0"/>
            </w:tcBorders>
            <w:vAlign w:val="center"/>
          </w:tcPr>
          <w:p>
            <w:pPr>
              <w:widowControl/>
              <w:jc w:val="center"/>
              <w:rPr>
                <w:rFonts w:hint="eastAsia" w:eastAsia="仿宋_GB2312"/>
                <w:color w:val="000000"/>
                <w:kern w:val="0"/>
                <w:sz w:val="22"/>
              </w:rPr>
            </w:pPr>
          </w:p>
        </w:tc>
        <w:tc>
          <w:tcPr>
            <w:tcW w:w="705" w:type="dxa"/>
            <w:vMerge w:val="continue"/>
            <w:tcBorders>
              <w:left w:val="single" w:color="auto" w:sz="4" w:space="0"/>
              <w:right w:val="single" w:color="auto" w:sz="4" w:space="0"/>
            </w:tcBorders>
            <w:vAlign w:val="center"/>
          </w:tcPr>
          <w:p>
            <w:pPr>
              <w:widowControl/>
              <w:jc w:val="center"/>
              <w:rPr>
                <w:rFonts w:hint="eastAsia"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000000"/>
                <w:kern w:val="0"/>
                <w:sz w:val="22"/>
                <w:lang w:eastAsia="zh-CN"/>
              </w:rPr>
            </w:pP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rPr>
            </w:pPr>
            <w:r>
              <w:rPr>
                <w:rFonts w:hint="eastAsia" w:eastAsia="仿宋_GB2312"/>
                <w:color w:val="auto"/>
                <w:kern w:val="0"/>
                <w:sz w:val="22"/>
                <w:lang w:val="en-US" w:eastAsia="zh-CN"/>
              </w:rPr>
              <w:t>“人大司法监督”工作完成率</w:t>
            </w: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3</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000000"/>
                <w:kern w:val="0"/>
                <w:sz w:val="22"/>
              </w:rPr>
            </w:pPr>
          </w:p>
        </w:tc>
        <w:tc>
          <w:tcPr>
            <w:tcW w:w="3300" w:type="dxa"/>
            <w:tcBorders>
              <w:top w:val="nil"/>
              <w:left w:val="single" w:color="auto" w:sz="4" w:space="0"/>
              <w:bottom w:val="single" w:color="auto" w:sz="4" w:space="0"/>
              <w:right w:val="single" w:color="auto" w:sz="4" w:space="0"/>
            </w:tcBorders>
            <w:vAlign w:val="center"/>
          </w:tcPr>
          <w:p>
            <w:pPr>
              <w:widowControl/>
              <w:rPr>
                <w:rFonts w:hint="eastAsia" w:eastAsia="仿宋_GB2312"/>
                <w:color w:val="auto"/>
                <w:kern w:val="0"/>
                <w:sz w:val="22"/>
              </w:rPr>
            </w:pPr>
            <w:r>
              <w:rPr>
                <w:rFonts w:hint="eastAsia" w:eastAsia="仿宋_GB2312"/>
                <w:color w:val="auto"/>
                <w:kern w:val="0"/>
                <w:sz w:val="22"/>
                <w:lang w:val="en-US" w:eastAsia="zh-CN"/>
              </w:rPr>
              <w:t>主要包括召开对口联系单位和各市（州）县（区）人大内务司法工作座谈会，专题研究监督工作，换届后各市（州）县（市、区）人大内务司法工作队伍进行专题培训；对“两院”审判、检察工作的监督，购置案件审判监督管理流程软件系统和检察案件办理监督管理流程软件系统，以及系统的升级、维护等；</w:t>
            </w:r>
            <w:r>
              <w:rPr>
                <w:rFonts w:hint="eastAsia" w:eastAsia="仿宋_GB2312"/>
                <w:color w:val="auto"/>
                <w:kern w:val="0"/>
                <w:sz w:val="22"/>
              </w:rPr>
              <w:t>计划完成率=实际完成数/计划完成数*100%，达到100%（</w:t>
            </w:r>
            <w:r>
              <w:rPr>
                <w:rFonts w:hint="eastAsia" w:eastAsia="仿宋_GB2312"/>
                <w:color w:val="auto"/>
                <w:kern w:val="0"/>
                <w:sz w:val="22"/>
                <w:lang w:eastAsia="zh-CN"/>
              </w:rPr>
              <w:t>1</w:t>
            </w:r>
            <w:r>
              <w:rPr>
                <w:rFonts w:hint="eastAsia" w:eastAsia="仿宋_GB2312"/>
                <w:color w:val="auto"/>
                <w:kern w:val="0"/>
                <w:sz w:val="22"/>
                <w:lang w:val="en-US" w:eastAsia="zh-CN"/>
              </w:rPr>
              <w:t>2</w:t>
            </w:r>
            <w:r>
              <w:rPr>
                <w:rFonts w:hint="eastAsia" w:eastAsia="仿宋_GB2312"/>
                <w:color w:val="auto"/>
                <w:kern w:val="0"/>
                <w:sz w:val="22"/>
              </w:rPr>
              <w:t>分），每降低1%，扣除5%权重分，扣完为止。</w:t>
            </w:r>
          </w:p>
        </w:tc>
        <w:tc>
          <w:tcPr>
            <w:tcW w:w="1320" w:type="dxa"/>
            <w:tcBorders>
              <w:top w:val="nil"/>
              <w:left w:val="nil"/>
              <w:bottom w:val="single" w:color="auto" w:sz="4" w:space="0"/>
              <w:right w:val="single" w:color="auto" w:sz="4" w:space="0"/>
            </w:tcBorders>
            <w:vAlign w:val="center"/>
          </w:tcPr>
          <w:p>
            <w:pPr>
              <w:widowControl/>
              <w:rPr>
                <w:rFonts w:eastAsia="仿宋_GB2312"/>
                <w:color w:val="FF0000"/>
                <w:kern w:val="0"/>
                <w:sz w:val="22"/>
              </w:rPr>
            </w:pPr>
            <w:r>
              <w:rPr>
                <w:rFonts w:hint="eastAsia" w:eastAsia="仿宋_GB2312"/>
                <w:color w:val="auto"/>
                <w:kern w:val="0"/>
                <w:sz w:val="22"/>
                <w:lang w:val="en-US" w:eastAsia="zh-CN"/>
              </w:rPr>
              <w:t>“人大司法监督”工作计划及年终工作总结</w:t>
            </w:r>
          </w:p>
        </w:tc>
        <w:tc>
          <w:tcPr>
            <w:tcW w:w="2268" w:type="dxa"/>
            <w:tcBorders>
              <w:top w:val="nil"/>
              <w:left w:val="nil"/>
              <w:bottom w:val="single" w:color="auto" w:sz="4" w:space="0"/>
              <w:right w:val="single" w:color="auto" w:sz="4" w:space="0"/>
            </w:tcBorders>
            <w:vAlign w:val="center"/>
          </w:tcPr>
          <w:p>
            <w:pPr>
              <w:widowControl/>
              <w:rPr>
                <w:rFonts w:eastAsia="仿宋_GB2312"/>
                <w:color w:val="FF0000"/>
                <w:kern w:val="0"/>
                <w:sz w:val="22"/>
              </w:rPr>
            </w:pPr>
            <w:r>
              <w:rPr>
                <w:rFonts w:hint="eastAsia" w:eastAsia="仿宋_GB2312"/>
                <w:color w:val="auto"/>
                <w:kern w:val="0"/>
                <w:sz w:val="22"/>
                <w:lang w:val="en-US" w:eastAsia="zh-CN"/>
              </w:rPr>
              <w:t>经评价组通过对单位工作计划及年终工作总结审查，该项目“人大司法监督”工作已完全按照部门年初工作计划及设定的量化指标完成最初设定的目标，（详见部门自评表）根据打分规则，该项指标得分为满分；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3</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3552" w:hRule="atLeast"/>
        </w:trPr>
        <w:tc>
          <w:tcPr>
            <w:tcW w:w="671" w:type="dxa"/>
            <w:vMerge w:val="continue"/>
            <w:tcBorders>
              <w:left w:val="single" w:color="auto" w:sz="4" w:space="0"/>
              <w:bottom w:val="single" w:color="auto" w:sz="4" w:space="0"/>
              <w:right w:val="single" w:color="auto" w:sz="4" w:space="0"/>
            </w:tcBorders>
            <w:vAlign w:val="center"/>
          </w:tcPr>
          <w:p>
            <w:pPr>
              <w:widowControl/>
              <w:jc w:val="center"/>
              <w:rPr>
                <w:rFonts w:hint="eastAsia" w:eastAsia="仿宋_GB2312"/>
                <w:color w:val="000000"/>
                <w:kern w:val="0"/>
                <w:sz w:val="22"/>
              </w:rPr>
            </w:pPr>
          </w:p>
        </w:tc>
        <w:tc>
          <w:tcPr>
            <w:tcW w:w="705" w:type="dxa"/>
            <w:vMerge w:val="continue"/>
            <w:tcBorders>
              <w:left w:val="single" w:color="auto" w:sz="4" w:space="0"/>
              <w:bottom w:val="single" w:color="auto" w:sz="4" w:space="0"/>
              <w:right w:val="single" w:color="auto" w:sz="4" w:space="0"/>
            </w:tcBorders>
            <w:vAlign w:val="center"/>
          </w:tcPr>
          <w:p>
            <w:pPr>
              <w:widowControl/>
              <w:jc w:val="center"/>
              <w:rPr>
                <w:rFonts w:hint="eastAsia"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000000"/>
                <w:kern w:val="0"/>
                <w:sz w:val="22"/>
                <w:lang w:eastAsia="zh-CN"/>
              </w:rPr>
            </w:pP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rPr>
            </w:pPr>
            <w:r>
              <w:rPr>
                <w:rFonts w:hint="eastAsia" w:eastAsia="仿宋_GB2312"/>
                <w:color w:val="auto"/>
                <w:kern w:val="0"/>
                <w:sz w:val="22"/>
                <w:lang w:val="en-US" w:eastAsia="zh-CN"/>
              </w:rPr>
              <w:t>“规范性文件备案审查”工作王成率</w:t>
            </w: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3</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000000"/>
                <w:kern w:val="0"/>
                <w:sz w:val="22"/>
              </w:rPr>
            </w:pPr>
          </w:p>
        </w:tc>
        <w:tc>
          <w:tcPr>
            <w:tcW w:w="3300" w:type="dxa"/>
            <w:tcBorders>
              <w:top w:val="nil"/>
              <w:left w:val="single" w:color="auto" w:sz="4" w:space="0"/>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主要包括健全法规、规章、规范性文件备案审查制度，规范性文件备案审查和立法后评估等；</w:t>
            </w:r>
            <w:r>
              <w:rPr>
                <w:rFonts w:hint="eastAsia" w:eastAsia="仿宋_GB2312"/>
                <w:color w:val="auto"/>
                <w:kern w:val="0"/>
                <w:sz w:val="22"/>
              </w:rPr>
              <w:t>计划完成率=实际完成数/计划完成数*100%，达到100%（</w:t>
            </w:r>
            <w:r>
              <w:rPr>
                <w:rFonts w:hint="eastAsia" w:eastAsia="仿宋_GB2312"/>
                <w:color w:val="auto"/>
                <w:kern w:val="0"/>
                <w:sz w:val="22"/>
                <w:lang w:eastAsia="zh-CN"/>
              </w:rPr>
              <w:t>1</w:t>
            </w:r>
            <w:r>
              <w:rPr>
                <w:rFonts w:hint="eastAsia" w:eastAsia="仿宋_GB2312"/>
                <w:color w:val="auto"/>
                <w:kern w:val="0"/>
                <w:sz w:val="22"/>
                <w:lang w:val="en-US" w:eastAsia="zh-CN"/>
              </w:rPr>
              <w:t>2</w:t>
            </w:r>
            <w:r>
              <w:rPr>
                <w:rFonts w:hint="eastAsia" w:eastAsia="仿宋_GB2312"/>
                <w:color w:val="auto"/>
                <w:kern w:val="0"/>
                <w:sz w:val="22"/>
              </w:rPr>
              <w:t>分），每降低1%，扣除5%权重分，扣完为止。</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FF0000"/>
                <w:kern w:val="0"/>
                <w:sz w:val="22"/>
                <w:lang w:val="en-US"/>
              </w:rPr>
            </w:pPr>
            <w:r>
              <w:rPr>
                <w:rFonts w:hint="eastAsia" w:eastAsia="仿宋_GB2312"/>
                <w:color w:val="auto"/>
                <w:kern w:val="0"/>
                <w:sz w:val="22"/>
                <w:lang w:val="en-US" w:eastAsia="zh-CN"/>
              </w:rPr>
              <w:t>“规范性文件备案审查”工作计划及年终工作总结</w:t>
            </w:r>
          </w:p>
        </w:tc>
        <w:tc>
          <w:tcPr>
            <w:tcW w:w="2268" w:type="dxa"/>
            <w:tcBorders>
              <w:top w:val="nil"/>
              <w:left w:val="nil"/>
              <w:bottom w:val="single" w:color="auto" w:sz="4" w:space="0"/>
              <w:right w:val="single" w:color="auto" w:sz="4" w:space="0"/>
            </w:tcBorders>
            <w:vAlign w:val="center"/>
          </w:tcPr>
          <w:p>
            <w:pPr>
              <w:widowControl/>
              <w:rPr>
                <w:rFonts w:eastAsia="仿宋_GB2312"/>
                <w:color w:val="FF0000"/>
                <w:kern w:val="0"/>
                <w:sz w:val="22"/>
              </w:rPr>
            </w:pPr>
            <w:r>
              <w:rPr>
                <w:rFonts w:hint="eastAsia" w:eastAsia="仿宋_GB2312"/>
                <w:color w:val="auto"/>
                <w:kern w:val="0"/>
                <w:sz w:val="22"/>
                <w:lang w:val="en-US" w:eastAsia="zh-CN"/>
              </w:rPr>
              <w:t>经评价组通过对单位工作计划及年终工作总结审查，该项目“规范性文件备案审查”工作已完全按照部门年初工作计划及设定的量化指标完成最初设定的目标，（详见部门自评表）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3</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675" w:hRule="atLeast"/>
        </w:trPr>
        <w:tc>
          <w:tcPr>
            <w:tcW w:w="671" w:type="dxa"/>
            <w:vMerge w:val="continue"/>
            <w:tcBorders>
              <w:top w:val="single" w:color="auto" w:sz="4" w:space="0"/>
              <w:left w:val="single" w:color="auto" w:sz="4" w:space="0"/>
              <w:right w:val="single" w:color="auto" w:sz="4" w:space="0"/>
            </w:tcBorders>
            <w:vAlign w:val="center"/>
          </w:tcPr>
          <w:p>
            <w:pPr>
              <w:widowControl/>
              <w:jc w:val="center"/>
              <w:rPr>
                <w:rFonts w:hint="eastAsia" w:eastAsia="仿宋_GB2312"/>
                <w:color w:val="000000"/>
                <w:kern w:val="0"/>
                <w:sz w:val="22"/>
              </w:rPr>
            </w:pPr>
          </w:p>
        </w:tc>
        <w:tc>
          <w:tcPr>
            <w:tcW w:w="705" w:type="dxa"/>
            <w:vMerge w:val="continue"/>
            <w:tcBorders>
              <w:top w:val="single" w:color="auto" w:sz="4" w:space="0"/>
              <w:left w:val="single" w:color="auto" w:sz="4" w:space="0"/>
              <w:right w:val="single" w:color="auto" w:sz="4" w:space="0"/>
            </w:tcBorders>
            <w:vAlign w:val="center"/>
          </w:tcPr>
          <w:p>
            <w:pPr>
              <w:widowControl/>
              <w:jc w:val="center"/>
              <w:rPr>
                <w:rFonts w:hint="eastAsia"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000000"/>
                <w:kern w:val="0"/>
                <w:sz w:val="22"/>
                <w:lang w:eastAsia="zh-CN"/>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000000"/>
                <w:kern w:val="0"/>
                <w:sz w:val="22"/>
                <w:lang w:val="en-US"/>
              </w:rPr>
            </w:pPr>
            <w:r>
              <w:rPr>
                <w:rFonts w:hint="eastAsia" w:eastAsia="仿宋_GB2312"/>
                <w:color w:val="auto"/>
                <w:kern w:val="0"/>
                <w:sz w:val="22"/>
                <w:lang w:val="en-US" w:eastAsia="zh-CN"/>
              </w:rPr>
              <w:t>“立法及法规清理”工作完成率</w:t>
            </w: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3</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000000"/>
                <w:kern w:val="0"/>
                <w:sz w:val="22"/>
              </w:rPr>
            </w:pPr>
          </w:p>
        </w:tc>
        <w:tc>
          <w:tcPr>
            <w:tcW w:w="3300" w:type="dxa"/>
            <w:tcBorders>
              <w:top w:val="nil"/>
              <w:left w:val="single" w:color="auto" w:sz="4" w:space="0"/>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主要包括①立法论证，包括制定修改、批准地方性法规专家论证会、座谈会、听证会等；②公众参与地方性立法；③地方性立法调研；④地方性法规起草；⑤地方性法规委托起草；⑥地方性法规的普及宣传活动及配合省上统一开展的普法活动；⑦法规文本及释义、法规汇编、法制参考等书籍的出版印刷；⑧地方性立法办公自动化、网络化实施经费以及法规数据库的建设和维护等。</w:t>
            </w:r>
            <w:r>
              <w:rPr>
                <w:rFonts w:hint="eastAsia" w:eastAsia="仿宋_GB2312"/>
                <w:color w:val="auto"/>
                <w:kern w:val="0"/>
                <w:sz w:val="22"/>
              </w:rPr>
              <w:t>计划完成率=实际完成数/计划完成数*100%，达到100%（</w:t>
            </w:r>
            <w:r>
              <w:rPr>
                <w:rFonts w:hint="eastAsia" w:eastAsia="仿宋_GB2312"/>
                <w:color w:val="auto"/>
                <w:kern w:val="0"/>
                <w:sz w:val="22"/>
                <w:lang w:eastAsia="zh-CN"/>
              </w:rPr>
              <w:t>1</w:t>
            </w:r>
            <w:r>
              <w:rPr>
                <w:rFonts w:hint="eastAsia" w:eastAsia="仿宋_GB2312"/>
                <w:color w:val="auto"/>
                <w:kern w:val="0"/>
                <w:sz w:val="22"/>
                <w:lang w:val="en-US" w:eastAsia="zh-CN"/>
              </w:rPr>
              <w:t>2</w:t>
            </w:r>
            <w:r>
              <w:rPr>
                <w:rFonts w:hint="eastAsia" w:eastAsia="仿宋_GB2312"/>
                <w:color w:val="auto"/>
                <w:kern w:val="0"/>
                <w:sz w:val="22"/>
              </w:rPr>
              <w:t>分），每降低1%，扣除5%权重分，扣完为止。</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FF0000"/>
                <w:kern w:val="0"/>
                <w:sz w:val="22"/>
                <w:lang w:val="en-US"/>
              </w:rPr>
            </w:pPr>
            <w:r>
              <w:rPr>
                <w:rFonts w:hint="eastAsia" w:eastAsia="仿宋_GB2312"/>
                <w:color w:val="auto"/>
                <w:kern w:val="0"/>
                <w:sz w:val="22"/>
                <w:lang w:val="en-US" w:eastAsia="zh-CN"/>
              </w:rPr>
              <w:t>“立法及法规清理”工作计划及年终工作总结</w:t>
            </w:r>
          </w:p>
        </w:tc>
        <w:tc>
          <w:tcPr>
            <w:tcW w:w="2268" w:type="dxa"/>
            <w:tcBorders>
              <w:top w:val="nil"/>
              <w:left w:val="nil"/>
              <w:bottom w:val="single" w:color="auto" w:sz="4" w:space="0"/>
              <w:right w:val="single" w:color="auto" w:sz="4" w:space="0"/>
            </w:tcBorders>
            <w:vAlign w:val="center"/>
          </w:tcPr>
          <w:p>
            <w:pPr>
              <w:widowControl/>
              <w:rPr>
                <w:rFonts w:eastAsia="仿宋_GB2312"/>
                <w:color w:val="FF0000"/>
                <w:kern w:val="0"/>
                <w:sz w:val="22"/>
              </w:rPr>
            </w:pPr>
            <w:r>
              <w:rPr>
                <w:rFonts w:hint="eastAsia" w:eastAsia="仿宋_GB2312"/>
                <w:color w:val="auto"/>
                <w:kern w:val="0"/>
                <w:sz w:val="22"/>
                <w:lang w:val="en-US" w:eastAsia="zh-CN"/>
              </w:rPr>
              <w:t>经评价组通过对单位工作计划及年终工作总结审查，该项目“立法及法规清理”工作已完全按照部门年初工作计划及设定的量化指标完成最初设定的目标，（详见部门自评表）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3</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2316"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auto"/>
                <w:kern w:val="0"/>
                <w:sz w:val="22"/>
                <w:lang w:val="en-US" w:eastAsia="zh-CN"/>
              </w:rPr>
              <w:t>“陇原环保世纪行”工作</w:t>
            </w:r>
            <w:r>
              <w:rPr>
                <w:rFonts w:hint="eastAsia" w:eastAsia="仿宋_GB2312"/>
                <w:color w:val="000000"/>
                <w:kern w:val="0"/>
                <w:sz w:val="22"/>
                <w:lang w:val="en-US" w:eastAsia="zh-CN"/>
              </w:rPr>
              <w:t>完成</w:t>
            </w:r>
            <w:r>
              <w:rPr>
                <w:rFonts w:hint="eastAsia" w:eastAsia="仿宋_GB2312"/>
                <w:color w:val="000000"/>
                <w:kern w:val="0"/>
                <w:sz w:val="22"/>
              </w:rPr>
              <w:t>合格率</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000000"/>
                <w:kern w:val="0"/>
                <w:sz w:val="22"/>
              </w:rPr>
            </w:pPr>
            <w:r>
              <w:rPr>
                <w:rFonts w:hint="eastAsia" w:eastAsia="仿宋_GB2312"/>
                <w:color w:val="000000"/>
                <w:kern w:val="0"/>
                <w:sz w:val="22"/>
                <w:lang w:val="en-US" w:eastAsia="zh-CN"/>
              </w:rPr>
              <w:t>2</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rPr>
              <w:t>100%</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auto"/>
                <w:kern w:val="0"/>
                <w:sz w:val="22"/>
                <w:szCs w:val="24"/>
                <w:lang w:val="en-US" w:eastAsia="zh-CN" w:bidi="ar-SA"/>
              </w:rPr>
            </w:pPr>
            <w:r>
              <w:rPr>
                <w:rFonts w:hint="eastAsia" w:eastAsia="仿宋_GB2312"/>
                <w:color w:val="auto"/>
                <w:kern w:val="0"/>
                <w:sz w:val="22"/>
              </w:rPr>
              <w:t>主要包括</w:t>
            </w:r>
            <w:r>
              <w:rPr>
                <w:rFonts w:hint="eastAsia" w:eastAsia="仿宋_GB2312"/>
                <w:color w:val="auto"/>
                <w:kern w:val="0"/>
                <w:sz w:val="22"/>
                <w:lang w:val="en-US" w:eastAsia="zh-CN"/>
              </w:rPr>
              <w:t>用于配合、接待中华环保世纪行组委会及办公室、记者团开展活动；组织我省记者团培训、集中采访、暗访；组委会会议、全省年度工作总结表彰会议；评选、表彰奖励全省好新闻；表彰奖励全省先进单位、先进工作者，新闻影音资料汇编出版；组织环境资源保护公益活动，日常办公及公文办理、资料、宣传器材购置维护等</w:t>
            </w:r>
            <w:r>
              <w:rPr>
                <w:rFonts w:hint="eastAsia" w:eastAsia="仿宋_GB2312"/>
                <w:color w:val="auto"/>
                <w:kern w:val="0"/>
                <w:sz w:val="22"/>
              </w:rPr>
              <w:t>。验收合格率=合格数/验收总数*100%，达到100%（</w:t>
            </w:r>
            <w:r>
              <w:rPr>
                <w:rFonts w:hint="eastAsia" w:eastAsia="仿宋_GB2312"/>
                <w:color w:val="auto"/>
                <w:kern w:val="0"/>
                <w:sz w:val="22"/>
                <w:lang w:val="en-US" w:eastAsia="zh-CN"/>
              </w:rPr>
              <w:t>2</w:t>
            </w:r>
            <w:r>
              <w:rPr>
                <w:rFonts w:hint="eastAsia" w:eastAsia="仿宋_GB2312"/>
                <w:color w:val="auto"/>
                <w:kern w:val="0"/>
                <w:sz w:val="22"/>
              </w:rPr>
              <w:t>分），每降低1%，扣除5%权重分，扣完为止。</w:t>
            </w:r>
          </w:p>
        </w:tc>
        <w:tc>
          <w:tcPr>
            <w:tcW w:w="1320"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“陇原环保世纪行”工作计划及年终工作总结、绩效目标申报表</w:t>
            </w:r>
          </w:p>
        </w:tc>
        <w:tc>
          <w:tcPr>
            <w:tcW w:w="2268"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经评价组通过对单位工作计划及年终工作总结审查，该项目“陇原环保世纪行”工作已完全按照部门年初工作计划及设定的量化指标标准完成最初设定的目标质量审核标准，（详见部门自评表）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2</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474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auto"/>
                <w:kern w:val="0"/>
                <w:sz w:val="22"/>
                <w:lang w:val="en-US" w:eastAsia="zh-CN"/>
              </w:rPr>
              <w:t>“人大司法监督”工作完成合格率</w:t>
            </w: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2</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95%</w:t>
            </w:r>
          </w:p>
        </w:tc>
        <w:tc>
          <w:tcPr>
            <w:tcW w:w="3300" w:type="dxa"/>
            <w:tcBorders>
              <w:top w:val="nil"/>
              <w:left w:val="single" w:color="auto" w:sz="4" w:space="0"/>
              <w:bottom w:val="single" w:color="auto" w:sz="4" w:space="0"/>
              <w:right w:val="single" w:color="auto" w:sz="4" w:space="0"/>
            </w:tcBorders>
            <w:vAlign w:val="center"/>
          </w:tcPr>
          <w:p>
            <w:pPr>
              <w:widowControl/>
              <w:rPr>
                <w:rFonts w:hint="eastAsia" w:eastAsia="仿宋_GB2312"/>
                <w:color w:val="auto"/>
                <w:kern w:val="0"/>
                <w:sz w:val="22"/>
              </w:rPr>
            </w:pPr>
            <w:r>
              <w:rPr>
                <w:rFonts w:hint="eastAsia" w:eastAsia="仿宋_GB2312"/>
                <w:color w:val="auto"/>
                <w:kern w:val="0"/>
                <w:sz w:val="22"/>
                <w:lang w:val="en-US" w:eastAsia="zh-CN"/>
              </w:rPr>
              <w:t>主要包括召开对口联系单位和各市（州）县（区）人大内务司法工作座谈会，专题研究监督工作，换届后各市（州）县（市、区）人大内务司法工作队伍进行专题培训；对“两院”审判、检察工作的监督，购置案件审判监督管理流程软件系统和检察案件办理监督管理流程软件系统，以及系统的升级、维护等；</w:t>
            </w:r>
            <w:r>
              <w:rPr>
                <w:rFonts w:hint="eastAsia" w:eastAsia="仿宋_GB2312"/>
                <w:color w:val="auto"/>
                <w:kern w:val="0"/>
                <w:sz w:val="22"/>
              </w:rPr>
              <w:t>验收合格率=合格数/验收总数*100%，达到100%（</w:t>
            </w:r>
            <w:r>
              <w:rPr>
                <w:rFonts w:hint="eastAsia" w:eastAsia="仿宋_GB2312"/>
                <w:color w:val="auto"/>
                <w:kern w:val="0"/>
                <w:sz w:val="22"/>
                <w:lang w:val="en-US" w:eastAsia="zh-CN"/>
              </w:rPr>
              <w:t>2</w:t>
            </w:r>
            <w:r>
              <w:rPr>
                <w:rFonts w:hint="eastAsia" w:eastAsia="仿宋_GB2312"/>
                <w:color w:val="auto"/>
                <w:kern w:val="0"/>
                <w:sz w:val="22"/>
              </w:rPr>
              <w:t>分），每降低1%，扣除5%权重分，扣完为止。</w:t>
            </w:r>
          </w:p>
        </w:tc>
        <w:tc>
          <w:tcPr>
            <w:tcW w:w="1320" w:type="dxa"/>
            <w:tcBorders>
              <w:top w:val="nil"/>
              <w:left w:val="nil"/>
              <w:bottom w:val="single" w:color="auto" w:sz="4" w:space="0"/>
              <w:right w:val="single" w:color="auto" w:sz="4" w:space="0"/>
            </w:tcBorders>
            <w:vAlign w:val="center"/>
          </w:tcPr>
          <w:p>
            <w:pPr>
              <w:widowControl/>
              <w:rPr>
                <w:rFonts w:ascii="Calibri" w:hAnsi="Calibri" w:eastAsia="仿宋_GB2312" w:cs="Times New Roman"/>
                <w:color w:val="FF0000"/>
                <w:kern w:val="0"/>
                <w:sz w:val="22"/>
                <w:szCs w:val="24"/>
                <w:lang w:val="en-US" w:eastAsia="zh-CN" w:bidi="ar-SA"/>
              </w:rPr>
            </w:pPr>
            <w:r>
              <w:rPr>
                <w:rFonts w:hint="eastAsia" w:eastAsia="仿宋_GB2312"/>
                <w:color w:val="auto"/>
                <w:kern w:val="0"/>
                <w:sz w:val="22"/>
                <w:lang w:val="en-US" w:eastAsia="zh-CN"/>
              </w:rPr>
              <w:t>“人大司法监督”工作计划及年终工作总结、绩效目标申报表</w:t>
            </w:r>
          </w:p>
        </w:tc>
        <w:tc>
          <w:tcPr>
            <w:tcW w:w="2268" w:type="dxa"/>
            <w:tcBorders>
              <w:top w:val="nil"/>
              <w:left w:val="nil"/>
              <w:bottom w:val="single" w:color="auto" w:sz="4" w:space="0"/>
              <w:right w:val="single" w:color="auto" w:sz="4" w:space="0"/>
            </w:tcBorders>
            <w:vAlign w:val="center"/>
          </w:tcPr>
          <w:p>
            <w:pPr>
              <w:widowControl/>
              <w:rPr>
                <w:rFonts w:ascii="Calibri" w:hAnsi="Calibri" w:eastAsia="仿宋_GB2312" w:cs="Times New Roman"/>
                <w:color w:val="FF0000"/>
                <w:kern w:val="0"/>
                <w:sz w:val="22"/>
                <w:szCs w:val="24"/>
                <w:lang w:val="en-US" w:eastAsia="zh-CN" w:bidi="ar-SA"/>
              </w:rPr>
            </w:pPr>
            <w:r>
              <w:rPr>
                <w:rFonts w:hint="eastAsia" w:eastAsia="仿宋_GB2312"/>
                <w:color w:val="auto"/>
                <w:kern w:val="0"/>
                <w:sz w:val="22"/>
                <w:lang w:val="en-US" w:eastAsia="zh-CN"/>
              </w:rPr>
              <w:t>经评价组通过对单位工作计划及年终工作总结审查，该项目“人大司法监督”工作已完全按照部门年初工作计划及设定的量化指标完成最初设定的目标质量审核标准，（详见部门自评表）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2</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126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auto"/>
                <w:kern w:val="0"/>
                <w:sz w:val="22"/>
                <w:lang w:val="en-US" w:eastAsia="zh-CN"/>
              </w:rPr>
              <w:t>“规范性文件备案审查”工作完成合格率</w:t>
            </w: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1</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100%</w:t>
            </w:r>
          </w:p>
        </w:tc>
        <w:tc>
          <w:tcPr>
            <w:tcW w:w="3300" w:type="dxa"/>
            <w:tcBorders>
              <w:top w:val="nil"/>
              <w:left w:val="single" w:color="auto" w:sz="4" w:space="0"/>
              <w:bottom w:val="single" w:color="auto" w:sz="4" w:space="0"/>
              <w:right w:val="single" w:color="auto" w:sz="4" w:space="0"/>
            </w:tcBorders>
            <w:vAlign w:val="center"/>
          </w:tcPr>
          <w:p>
            <w:pPr>
              <w:widowControl/>
              <w:rPr>
                <w:rFonts w:hint="eastAsia" w:eastAsia="仿宋_GB2312"/>
                <w:color w:val="auto"/>
                <w:kern w:val="0"/>
                <w:sz w:val="22"/>
              </w:rPr>
            </w:pPr>
            <w:r>
              <w:rPr>
                <w:rFonts w:hint="eastAsia" w:eastAsia="仿宋_GB2312"/>
                <w:color w:val="auto"/>
                <w:kern w:val="0"/>
                <w:sz w:val="22"/>
                <w:lang w:val="en-US" w:eastAsia="zh-CN"/>
              </w:rPr>
              <w:t>主要包括健全法规、规章、规范性文件备案审查制度，规范性文件备案审查和立法后评估等；</w:t>
            </w:r>
            <w:r>
              <w:rPr>
                <w:rFonts w:hint="eastAsia" w:eastAsia="仿宋_GB2312"/>
                <w:color w:val="auto"/>
                <w:kern w:val="0"/>
                <w:sz w:val="22"/>
              </w:rPr>
              <w:t>验收合格率=合格数/验收总数*100%，达到100%</w:t>
            </w:r>
            <w:r>
              <w:rPr>
                <w:rFonts w:hint="eastAsia" w:eastAsia="仿宋_GB2312"/>
                <w:color w:val="auto"/>
                <w:kern w:val="0"/>
                <w:sz w:val="22"/>
                <w:lang w:eastAsia="zh-CN"/>
              </w:rPr>
              <w:t>（</w:t>
            </w:r>
            <w:r>
              <w:rPr>
                <w:rFonts w:hint="eastAsia" w:eastAsia="仿宋_GB2312"/>
                <w:color w:val="auto"/>
                <w:kern w:val="0"/>
                <w:sz w:val="22"/>
                <w:lang w:val="en-US" w:eastAsia="zh-CN"/>
              </w:rPr>
              <w:t>1分</w:t>
            </w:r>
            <w:r>
              <w:rPr>
                <w:rFonts w:hint="eastAsia" w:eastAsia="仿宋_GB2312"/>
                <w:color w:val="auto"/>
                <w:kern w:val="0"/>
                <w:sz w:val="22"/>
                <w:lang w:eastAsia="zh-CN"/>
              </w:rPr>
              <w:t>）</w:t>
            </w:r>
            <w:r>
              <w:rPr>
                <w:rFonts w:hint="eastAsia" w:eastAsia="仿宋_GB2312"/>
                <w:color w:val="auto"/>
                <w:kern w:val="0"/>
                <w:sz w:val="22"/>
              </w:rPr>
              <w:t>，每降低1%，扣除5%权重分，扣完为止。</w:t>
            </w:r>
          </w:p>
        </w:tc>
        <w:tc>
          <w:tcPr>
            <w:tcW w:w="1320"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“规范性文件备案审查”工作计划及年终工作总结、绩效目标申报表</w:t>
            </w:r>
          </w:p>
        </w:tc>
        <w:tc>
          <w:tcPr>
            <w:tcW w:w="2268"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经评价组通过对单位工作计划及年终工作总结审查，该项目“规范性文件备案审查”工作已完全按照部门年初工作计划及设定的量化指标完成最初设定的目标质量审核标准，（详见部门自评表）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1</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45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auto"/>
                <w:kern w:val="0"/>
                <w:sz w:val="22"/>
                <w:lang w:val="en-US" w:eastAsia="zh-CN"/>
              </w:rPr>
              <w:t>“立法及法规清理”工作完成合格率</w:t>
            </w:r>
          </w:p>
        </w:tc>
        <w:tc>
          <w:tcPr>
            <w:tcW w:w="709" w:type="dxa"/>
            <w:tcBorders>
              <w:top w:val="nil"/>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2</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000000"/>
                <w:kern w:val="0"/>
                <w:sz w:val="22"/>
                <w:lang w:val="en-US" w:eastAsia="zh-CN"/>
              </w:rPr>
            </w:pPr>
            <w:r>
              <w:rPr>
                <w:rFonts w:hint="eastAsia" w:eastAsia="仿宋_GB2312"/>
                <w:color w:val="000000"/>
                <w:kern w:val="0"/>
                <w:sz w:val="22"/>
                <w:lang w:val="en-US" w:eastAsia="zh-CN"/>
              </w:rPr>
              <w:t>100%</w:t>
            </w:r>
          </w:p>
        </w:tc>
        <w:tc>
          <w:tcPr>
            <w:tcW w:w="3300" w:type="dxa"/>
            <w:tcBorders>
              <w:top w:val="nil"/>
              <w:left w:val="single" w:color="auto" w:sz="4" w:space="0"/>
              <w:bottom w:val="single" w:color="auto" w:sz="4" w:space="0"/>
              <w:right w:val="single" w:color="auto" w:sz="4" w:space="0"/>
            </w:tcBorders>
            <w:vAlign w:val="center"/>
          </w:tcPr>
          <w:p>
            <w:pPr>
              <w:widowControl/>
              <w:rPr>
                <w:rFonts w:hint="eastAsia" w:eastAsia="仿宋_GB2312"/>
                <w:color w:val="auto"/>
                <w:kern w:val="0"/>
                <w:sz w:val="22"/>
              </w:rPr>
            </w:pPr>
            <w:r>
              <w:rPr>
                <w:rFonts w:hint="eastAsia" w:eastAsia="仿宋_GB2312"/>
                <w:color w:val="auto"/>
                <w:kern w:val="0"/>
                <w:sz w:val="22"/>
                <w:lang w:val="en-US" w:eastAsia="zh-CN"/>
              </w:rPr>
              <w:t>主要包括①立法论证，包括制定修改、批准地方性法规专家论证会、座谈会、听证会等；②公众参与地方性立法；③地方性立法调研；④地方性法规起草；⑤地方性法规委托起草；⑥地方性法规的普及宣传活动及配合省上统一开展的普法活动；⑦法规文本及释义、法规汇编、法制参考等书籍的出版印刷；⑧地方性立法办公自动化、网络化实施经费以及法规数据库的建设和维护等。</w:t>
            </w:r>
            <w:r>
              <w:rPr>
                <w:rFonts w:hint="eastAsia" w:eastAsia="仿宋_GB2312"/>
                <w:color w:val="auto"/>
                <w:kern w:val="0"/>
                <w:sz w:val="22"/>
              </w:rPr>
              <w:t>验收合格率=合格数/验收总数*100%，达到100%（</w:t>
            </w:r>
            <w:r>
              <w:rPr>
                <w:rFonts w:hint="eastAsia" w:eastAsia="仿宋_GB2312"/>
                <w:color w:val="auto"/>
                <w:kern w:val="0"/>
                <w:sz w:val="22"/>
                <w:lang w:val="en-US" w:eastAsia="zh-CN"/>
              </w:rPr>
              <w:t>2</w:t>
            </w:r>
            <w:r>
              <w:rPr>
                <w:rFonts w:hint="eastAsia" w:eastAsia="仿宋_GB2312"/>
                <w:color w:val="auto"/>
                <w:kern w:val="0"/>
                <w:sz w:val="22"/>
              </w:rPr>
              <w:t>分），每降低1%，扣除5%权重分，扣完为止。</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rPr>
            </w:pPr>
            <w:r>
              <w:rPr>
                <w:rFonts w:hint="eastAsia" w:eastAsia="仿宋_GB2312"/>
                <w:color w:val="auto"/>
                <w:kern w:val="0"/>
                <w:sz w:val="22"/>
                <w:lang w:val="en-US" w:eastAsia="zh-CN"/>
              </w:rPr>
              <w:t>“立法及法规清理”工作计划及年终工作总结、绩效目标申报表</w:t>
            </w:r>
          </w:p>
        </w:tc>
        <w:tc>
          <w:tcPr>
            <w:tcW w:w="2268"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经评价组通过对单位工作计划及年终工作总结审查，该项目“立法及法规清理”工作已完全按照部门年初工作计划及设定的量化指标完成最初设定的目标质量审核标准，（详见部门自评表）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2</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2508"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lang w:val="en-US" w:eastAsia="zh-CN"/>
              </w:rPr>
              <w:t>立法经费工作</w:t>
            </w:r>
            <w:r>
              <w:rPr>
                <w:rFonts w:hint="eastAsia" w:eastAsia="仿宋_GB2312"/>
                <w:color w:val="000000"/>
                <w:kern w:val="0"/>
                <w:sz w:val="22"/>
              </w:rPr>
              <w:t>完成及时率</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000000"/>
                <w:kern w:val="0"/>
                <w:sz w:val="22"/>
              </w:rPr>
            </w:pPr>
            <w:r>
              <w:rPr>
                <w:rFonts w:hint="eastAsia" w:eastAsia="仿宋_GB2312"/>
                <w:color w:val="000000"/>
                <w:kern w:val="0"/>
                <w:sz w:val="22"/>
                <w:lang w:eastAsia="zh-CN"/>
              </w:rPr>
              <w:t>7</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rPr>
              <w:t>100%</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auto"/>
                <w:kern w:val="0"/>
                <w:sz w:val="22"/>
                <w:szCs w:val="24"/>
                <w:lang w:val="en-US" w:eastAsia="zh-CN" w:bidi="ar-SA"/>
              </w:rPr>
            </w:pPr>
            <w:r>
              <w:rPr>
                <w:rFonts w:hint="eastAsia" w:eastAsia="仿宋_GB2312"/>
                <w:color w:val="auto"/>
                <w:kern w:val="0"/>
                <w:sz w:val="22"/>
              </w:rPr>
              <w:t>主要包括</w:t>
            </w:r>
            <w:r>
              <w:rPr>
                <w:rFonts w:hint="eastAsia" w:eastAsia="仿宋_GB2312"/>
                <w:color w:val="auto"/>
                <w:kern w:val="0"/>
                <w:sz w:val="22"/>
                <w:lang w:val="en-US" w:eastAsia="zh-CN"/>
              </w:rPr>
              <w:t>“陇原环保世纪行”“人大司法监督工作”“规范性文件备案审查”“立法经费及法规清理”四</w:t>
            </w:r>
            <w:r>
              <w:rPr>
                <w:rFonts w:hint="eastAsia" w:eastAsia="仿宋_GB2312"/>
                <w:color w:val="auto"/>
                <w:kern w:val="0"/>
                <w:sz w:val="22"/>
              </w:rPr>
              <w:t>部分</w:t>
            </w:r>
            <w:r>
              <w:rPr>
                <w:rFonts w:hint="eastAsia" w:eastAsia="仿宋_GB2312"/>
                <w:color w:val="auto"/>
                <w:kern w:val="0"/>
                <w:sz w:val="22"/>
                <w:lang w:val="en-US" w:eastAsia="zh-CN"/>
              </w:rPr>
              <w:t>的工作完成及时情况</w:t>
            </w:r>
            <w:r>
              <w:rPr>
                <w:rFonts w:hint="eastAsia" w:eastAsia="仿宋_GB2312"/>
                <w:color w:val="auto"/>
                <w:kern w:val="0"/>
                <w:sz w:val="22"/>
              </w:rPr>
              <w:t>。完成及时率=实际按时完成/计划按时完成*100%，达到100%（</w:t>
            </w:r>
            <w:r>
              <w:rPr>
                <w:rFonts w:hint="eastAsia" w:eastAsia="仿宋_GB2312"/>
                <w:color w:val="auto"/>
                <w:kern w:val="0"/>
                <w:sz w:val="22"/>
                <w:lang w:eastAsia="zh-CN"/>
              </w:rPr>
              <w:t>7</w:t>
            </w:r>
            <w:r>
              <w:rPr>
                <w:rFonts w:hint="eastAsia" w:eastAsia="仿宋_GB2312"/>
                <w:color w:val="auto"/>
                <w:kern w:val="0"/>
                <w:sz w:val="22"/>
              </w:rPr>
              <w:t>分），每降低1%，扣除5%权重分，扣完为止。</w:t>
            </w:r>
          </w:p>
        </w:tc>
        <w:tc>
          <w:tcPr>
            <w:tcW w:w="1320"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省人大常委会2019年工作计划及年终工作总结、绩效目标申报表</w:t>
            </w:r>
          </w:p>
        </w:tc>
        <w:tc>
          <w:tcPr>
            <w:tcW w:w="2268"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经评价组通过对单位工作计划及年终工作总结审查，该项工作已完全按照部门年初工作计划及设定的量化指标完成时间完成了最初设定的目标，（详见部门自评表）根据打分规则，该项指标得分为满分；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7</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9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FF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000000"/>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lang w:val="en-US" w:eastAsia="zh-CN"/>
              </w:rPr>
              <w:t>立法经费工作</w:t>
            </w:r>
            <w:r>
              <w:rPr>
                <w:rFonts w:hint="eastAsia" w:eastAsia="仿宋_GB2312"/>
                <w:color w:val="000000"/>
                <w:kern w:val="0"/>
                <w:sz w:val="22"/>
              </w:rPr>
              <w:t>成本控制率</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000000"/>
                <w:kern w:val="0"/>
                <w:sz w:val="22"/>
              </w:rPr>
            </w:pPr>
            <w:r>
              <w:rPr>
                <w:rFonts w:hint="eastAsia" w:eastAsia="仿宋_GB2312"/>
                <w:color w:val="000000"/>
                <w:kern w:val="0"/>
                <w:sz w:val="22"/>
                <w:lang w:eastAsia="zh-CN"/>
              </w:rPr>
              <w:t>4</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000000"/>
                <w:kern w:val="0"/>
                <w:sz w:val="22"/>
              </w:rPr>
            </w:pPr>
            <w:r>
              <w:rPr>
                <w:rFonts w:hint="eastAsia" w:eastAsia="仿宋_GB2312"/>
                <w:color w:val="000000"/>
                <w:kern w:val="0"/>
                <w:sz w:val="22"/>
                <w:lang w:val="en-US" w:eastAsia="zh-CN"/>
              </w:rPr>
              <w:t>≥95</w:t>
            </w:r>
            <w:r>
              <w:rPr>
                <w:rFonts w:hint="eastAsia" w:eastAsia="仿宋_GB2312"/>
                <w:color w:val="000000"/>
                <w:kern w:val="0"/>
                <w:sz w:val="22"/>
              </w:rPr>
              <w:t>%</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FF0000"/>
                <w:kern w:val="0"/>
                <w:sz w:val="22"/>
                <w:szCs w:val="24"/>
                <w:lang w:val="en-US" w:eastAsia="zh-CN" w:bidi="ar-SA"/>
              </w:rPr>
            </w:pPr>
            <w:r>
              <w:rPr>
                <w:rFonts w:hint="eastAsia" w:eastAsia="仿宋_GB2312"/>
                <w:color w:val="auto"/>
                <w:kern w:val="0"/>
                <w:sz w:val="22"/>
              </w:rPr>
              <w:t>主要包括</w:t>
            </w:r>
            <w:r>
              <w:rPr>
                <w:rFonts w:hint="eastAsia" w:eastAsia="仿宋_GB2312"/>
                <w:color w:val="auto"/>
                <w:kern w:val="0"/>
                <w:sz w:val="22"/>
                <w:lang w:val="en-US" w:eastAsia="zh-CN"/>
              </w:rPr>
              <w:t>“陇原环保世纪行”“人大司法监督工作”“规范性文件备案审查”“立法经费及法规清理”四</w:t>
            </w:r>
            <w:r>
              <w:rPr>
                <w:rFonts w:hint="eastAsia" w:eastAsia="仿宋_GB2312"/>
                <w:color w:val="auto"/>
                <w:kern w:val="0"/>
                <w:sz w:val="22"/>
              </w:rPr>
              <w:t>部分。成本控制率=实际成本/计划总成本*100%，不超过100%（</w:t>
            </w:r>
            <w:r>
              <w:rPr>
                <w:rFonts w:hint="eastAsia" w:eastAsia="仿宋_GB2312"/>
                <w:color w:val="auto"/>
                <w:kern w:val="0"/>
                <w:sz w:val="22"/>
                <w:lang w:eastAsia="zh-CN"/>
              </w:rPr>
              <w:t>4</w:t>
            </w:r>
            <w:r>
              <w:rPr>
                <w:rFonts w:hint="eastAsia" w:eastAsia="仿宋_GB2312"/>
                <w:color w:val="auto"/>
                <w:kern w:val="0"/>
                <w:sz w:val="22"/>
              </w:rPr>
              <w:t>分），每提高1%，扣除5%权重分，扣完为止。</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FF0000"/>
                <w:kern w:val="0"/>
                <w:sz w:val="22"/>
                <w:lang w:val="en-US" w:eastAsia="zh-CN"/>
              </w:rPr>
            </w:pPr>
            <w:r>
              <w:rPr>
                <w:rFonts w:hint="eastAsia" w:eastAsia="仿宋_GB2312"/>
                <w:color w:val="auto"/>
                <w:kern w:val="0"/>
                <w:sz w:val="22"/>
                <w:lang w:val="en-US" w:eastAsia="zh-CN"/>
              </w:rPr>
              <w:t>2019年预算申报文件、预算资金拨付文件，支付凭证及明细账</w:t>
            </w:r>
          </w:p>
        </w:tc>
        <w:tc>
          <w:tcPr>
            <w:tcW w:w="2268" w:type="dxa"/>
            <w:tcBorders>
              <w:top w:val="nil"/>
              <w:left w:val="nil"/>
              <w:bottom w:val="single" w:color="auto" w:sz="4" w:space="0"/>
              <w:right w:val="single" w:color="auto" w:sz="4" w:space="0"/>
            </w:tcBorders>
            <w:vAlign w:val="center"/>
          </w:tcPr>
          <w:p>
            <w:pPr>
              <w:widowControl/>
              <w:rPr>
                <w:rFonts w:eastAsia="仿宋_GB2312"/>
                <w:color w:val="FF0000"/>
                <w:kern w:val="0"/>
                <w:sz w:val="22"/>
              </w:rPr>
            </w:pPr>
            <w:r>
              <w:rPr>
                <w:rFonts w:hint="eastAsia" w:eastAsia="仿宋_GB2312"/>
                <w:color w:val="auto"/>
                <w:kern w:val="0"/>
                <w:sz w:val="22"/>
                <w:lang w:val="en-US" w:eastAsia="zh-CN"/>
              </w:rPr>
              <w:t>经评价组通过对2019年预算申报文件、预算资金拨付文件，支付凭证及明细账查账审核，该项目项目年初预审申报数420万元，经查账核实，2019年底，该项目资金结余数为0，预算执行率达到100%。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4</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516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项目效果</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color w:val="auto"/>
                <w:kern w:val="0"/>
                <w:sz w:val="22"/>
              </w:rPr>
            </w:pPr>
            <w:r>
              <w:rPr>
                <w:rFonts w:hint="eastAsia" w:eastAsia="仿宋_GB2312"/>
                <w:color w:val="auto"/>
                <w:kern w:val="0"/>
                <w:sz w:val="22"/>
                <w:lang w:eastAsia="zh-CN"/>
              </w:rPr>
              <w:t>2</w:t>
            </w:r>
            <w:r>
              <w:rPr>
                <w:rFonts w:hint="eastAsia" w:eastAsia="仿宋_GB2312"/>
                <w:color w:val="auto"/>
                <w:kern w:val="0"/>
                <w:sz w:val="22"/>
                <w:lang w:val="en-US" w:eastAsia="zh-CN"/>
              </w:rPr>
              <w:t>5</w:t>
            </w: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sz w:val="22"/>
                <w:szCs w:val="22"/>
              </w:rPr>
              <w:t>完善立法机制</w:t>
            </w:r>
            <w:r>
              <w:rPr>
                <w:rFonts w:hint="eastAsia" w:eastAsia="仿宋_GB2312"/>
                <w:color w:val="auto"/>
                <w:sz w:val="22"/>
                <w:szCs w:val="22"/>
                <w:lang w:eastAsia="zh-CN"/>
              </w:rPr>
              <w:t>，</w:t>
            </w:r>
            <w:r>
              <w:rPr>
                <w:rFonts w:hint="eastAsia" w:eastAsia="仿宋_GB2312"/>
                <w:color w:val="auto"/>
                <w:sz w:val="22"/>
                <w:szCs w:val="22"/>
              </w:rPr>
              <w:t>立法质量提升率</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eastAsia="zh-CN"/>
              </w:rPr>
              <w:t>5</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rPr>
            </w:pPr>
            <w:r>
              <w:rPr>
                <w:rFonts w:hint="eastAsia" w:eastAsia="仿宋_GB2312"/>
                <w:color w:val="auto"/>
                <w:kern w:val="0"/>
                <w:sz w:val="22"/>
              </w:rPr>
              <w:t>&gt;=</w:t>
            </w:r>
            <w:r>
              <w:rPr>
                <w:rFonts w:hint="eastAsia" w:eastAsia="仿宋_GB2312"/>
                <w:color w:val="auto"/>
                <w:kern w:val="0"/>
                <w:sz w:val="22"/>
                <w:lang w:eastAsia="zh-CN"/>
              </w:rPr>
              <w:t>9</w:t>
            </w:r>
            <w:r>
              <w:rPr>
                <w:rFonts w:hint="eastAsia" w:eastAsia="仿宋_GB2312"/>
                <w:color w:val="auto"/>
                <w:kern w:val="0"/>
                <w:sz w:val="22"/>
                <w:lang w:val="en-US" w:eastAsia="zh-CN"/>
              </w:rPr>
              <w:t>0%</w:t>
            </w:r>
          </w:p>
        </w:tc>
        <w:tc>
          <w:tcPr>
            <w:tcW w:w="3300" w:type="dxa"/>
            <w:tcBorders>
              <w:top w:val="nil"/>
              <w:left w:val="single" w:color="auto" w:sz="4" w:space="0"/>
              <w:bottom w:val="single" w:color="auto" w:sz="4" w:space="0"/>
              <w:right w:val="single" w:color="auto" w:sz="4" w:space="0"/>
            </w:tcBorders>
            <w:vAlign w:val="center"/>
          </w:tcPr>
          <w:p>
            <w:pPr>
              <w:widowControl/>
              <w:rPr>
                <w:rFonts w:hint="default"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考察省人大常委会立法机制的完善情况以及立法质量的提升率；</w:t>
            </w:r>
            <w:r>
              <w:rPr>
                <w:rFonts w:hint="eastAsia" w:eastAsia="仿宋_GB2312"/>
                <w:color w:val="auto"/>
                <w:kern w:val="0"/>
                <w:sz w:val="22"/>
              </w:rPr>
              <w:t>达到目标值得</w:t>
            </w:r>
            <w:r>
              <w:rPr>
                <w:rFonts w:hint="eastAsia" w:eastAsia="仿宋_GB2312"/>
                <w:color w:val="auto"/>
                <w:kern w:val="0"/>
                <w:sz w:val="22"/>
                <w:lang w:val="en-US" w:eastAsia="zh-CN"/>
              </w:rPr>
              <w:t>100</w:t>
            </w:r>
            <w:r>
              <w:rPr>
                <w:rFonts w:hint="eastAsia" w:eastAsia="仿宋_GB2312"/>
                <w:color w:val="auto"/>
                <w:kern w:val="0"/>
                <w:sz w:val="22"/>
              </w:rPr>
              <w:t>%权重分。</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rPr>
            </w:pPr>
            <w:r>
              <w:rPr>
                <w:rFonts w:hint="eastAsia" w:eastAsia="仿宋_GB2312"/>
                <w:color w:val="auto"/>
                <w:kern w:val="0"/>
                <w:sz w:val="22"/>
                <w:lang w:val="en-US" w:eastAsia="zh-CN"/>
              </w:rPr>
              <w:t>省人大常委会2019年工作计划及年终工作总结、绩效目标申报表，调查问卷数据统计</w:t>
            </w:r>
          </w:p>
        </w:tc>
        <w:tc>
          <w:tcPr>
            <w:tcW w:w="2268"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经评价组通过对省人大常委会2019年工作计划及年终工作总结、绩效目标申报表审查，该项工作已完全按照部门年初工作计划及设定的量化指标完成了最初设定的目标，立法机制及立法质量提升率达到90%以上，省人大立法机制逐步完善，立法质量也在逐步提升中，根据打分规则，该项指标得分为满分；</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5</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r>
      <w:tr>
        <w:tblPrEx>
          <w:tblLayout w:type="fixed"/>
          <w:tblCellMar>
            <w:top w:w="0" w:type="dxa"/>
            <w:left w:w="108" w:type="dxa"/>
            <w:bottom w:w="0" w:type="dxa"/>
            <w:right w:w="108" w:type="dxa"/>
          </w:tblCellMar>
        </w:tblPrEx>
        <w:trPr>
          <w:trHeight w:val="384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sz w:val="22"/>
                <w:szCs w:val="22"/>
              </w:rPr>
              <w:t>社会大众法律知晓度</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eastAsia="zh-CN"/>
              </w:rPr>
              <w:t>5</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提高</w:t>
            </w:r>
          </w:p>
        </w:tc>
        <w:tc>
          <w:tcPr>
            <w:tcW w:w="3300" w:type="dxa"/>
            <w:tcBorders>
              <w:top w:val="nil"/>
              <w:left w:val="single" w:color="auto" w:sz="4" w:space="0"/>
              <w:bottom w:val="single" w:color="auto" w:sz="4" w:space="0"/>
              <w:right w:val="single" w:color="auto" w:sz="4" w:space="0"/>
            </w:tcBorders>
            <w:vAlign w:val="center"/>
          </w:tcPr>
          <w:p>
            <w:pPr>
              <w:widowControl/>
              <w:rPr>
                <w:rFonts w:hint="eastAsia"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考察社会大众对法律的知晓程度，通过调查问卷形式进行调查及数据统计分析</w:t>
            </w:r>
            <w:r>
              <w:rPr>
                <w:rFonts w:hint="eastAsia" w:eastAsia="仿宋_GB2312"/>
                <w:color w:val="auto"/>
                <w:kern w:val="0"/>
                <w:sz w:val="22"/>
              </w:rPr>
              <w:t>达到目标值得80%权重分，否则不得分；每超过标杆值的1%增加5%权重分，加满为止。</w:t>
            </w:r>
          </w:p>
        </w:tc>
        <w:tc>
          <w:tcPr>
            <w:tcW w:w="1320"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省人大常委会2019年工作计划及年终工作总结、绩效目标申报表，调查问卷数据统计</w:t>
            </w:r>
          </w:p>
        </w:tc>
        <w:tc>
          <w:tcPr>
            <w:tcW w:w="2268"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经评价组通过对省人大常委会2019年工作计划及年终工作总结、绩效目标申报表审查，对14个市州及省本级发放300份调查问卷数据统计分析，社会大众对省人大立法的知晓度达到90%以上，根据打分规则，该项指标得分为权重分值的80%；</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4</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80%</w:t>
            </w:r>
          </w:p>
        </w:tc>
      </w:tr>
      <w:tr>
        <w:tblPrEx>
          <w:tblLayout w:type="fixed"/>
          <w:tblCellMar>
            <w:top w:w="0" w:type="dxa"/>
            <w:left w:w="108" w:type="dxa"/>
            <w:bottom w:w="0" w:type="dxa"/>
            <w:right w:w="108" w:type="dxa"/>
          </w:tblCellMar>
        </w:tblPrEx>
        <w:trPr>
          <w:trHeight w:val="90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sz w:val="22"/>
                <w:szCs w:val="22"/>
              </w:rPr>
              <w:t>条例实施对社会的影响度</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kern w:val="0"/>
                <w:sz w:val="22"/>
                <w:lang w:eastAsia="zh-CN"/>
              </w:rPr>
              <w:t>6</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rPr>
            </w:pPr>
            <w:r>
              <w:rPr>
                <w:rFonts w:hint="eastAsia" w:eastAsia="仿宋_GB2312"/>
                <w:color w:val="auto"/>
                <w:kern w:val="0"/>
                <w:sz w:val="22"/>
              </w:rPr>
              <w:t>&gt;=</w:t>
            </w:r>
            <w:r>
              <w:rPr>
                <w:rFonts w:hint="eastAsia" w:eastAsia="仿宋_GB2312"/>
                <w:color w:val="auto"/>
                <w:kern w:val="0"/>
                <w:sz w:val="22"/>
                <w:lang w:eastAsia="zh-CN"/>
              </w:rPr>
              <w:t>9</w:t>
            </w:r>
            <w:r>
              <w:rPr>
                <w:rFonts w:hint="eastAsia" w:eastAsia="仿宋_GB2312"/>
                <w:color w:val="auto"/>
                <w:kern w:val="0"/>
                <w:sz w:val="22"/>
                <w:lang w:val="en-US" w:eastAsia="zh-CN"/>
              </w:rPr>
              <w:t>5%</w:t>
            </w:r>
          </w:p>
        </w:tc>
        <w:tc>
          <w:tcPr>
            <w:tcW w:w="3300" w:type="dxa"/>
            <w:tcBorders>
              <w:top w:val="nil"/>
              <w:left w:val="single" w:color="auto" w:sz="4" w:space="0"/>
              <w:bottom w:val="single" w:color="auto" w:sz="4" w:space="0"/>
              <w:right w:val="single" w:color="auto" w:sz="4" w:space="0"/>
            </w:tcBorders>
            <w:vAlign w:val="center"/>
          </w:tcPr>
          <w:p>
            <w:pPr>
              <w:widowControl/>
              <w:rPr>
                <w:rFonts w:hint="default"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考察人大立法条例的实施对社会的影响程度，</w:t>
            </w:r>
            <w:r>
              <w:rPr>
                <w:rFonts w:hint="eastAsia" w:eastAsia="仿宋_GB2312"/>
                <w:color w:val="auto"/>
                <w:kern w:val="0"/>
                <w:sz w:val="22"/>
              </w:rPr>
              <w:t>达到目标值得80%权重分，否则不得分；每超过标杆值的1%增加</w:t>
            </w:r>
            <w:r>
              <w:rPr>
                <w:rFonts w:hint="eastAsia" w:eastAsia="仿宋_GB2312"/>
                <w:color w:val="auto"/>
                <w:kern w:val="0"/>
                <w:sz w:val="22"/>
                <w:lang w:val="en-US" w:eastAsia="zh-CN"/>
              </w:rPr>
              <w:t>5</w:t>
            </w:r>
            <w:r>
              <w:rPr>
                <w:rFonts w:hint="eastAsia" w:eastAsia="仿宋_GB2312"/>
                <w:color w:val="auto"/>
                <w:kern w:val="0"/>
                <w:sz w:val="22"/>
              </w:rPr>
              <w:t>%权重分，加满为止。</w:t>
            </w:r>
          </w:p>
        </w:tc>
        <w:tc>
          <w:tcPr>
            <w:tcW w:w="1320"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省人大常委会2019年工作计划及年终工作总结、绩效目标申报表，调查问卷数据统计</w:t>
            </w:r>
          </w:p>
        </w:tc>
        <w:tc>
          <w:tcPr>
            <w:tcW w:w="2268" w:type="dxa"/>
            <w:tcBorders>
              <w:top w:val="nil"/>
              <w:left w:val="nil"/>
              <w:bottom w:val="single" w:color="auto" w:sz="4" w:space="0"/>
              <w:right w:val="single" w:color="auto" w:sz="4" w:space="0"/>
            </w:tcBorders>
            <w:vAlign w:val="center"/>
          </w:tcPr>
          <w:p>
            <w:pPr>
              <w:widowControl/>
              <w:rPr>
                <w:rFonts w:eastAsia="仿宋_GB2312"/>
                <w:color w:val="auto"/>
                <w:kern w:val="0"/>
                <w:sz w:val="22"/>
              </w:rPr>
            </w:pPr>
            <w:r>
              <w:rPr>
                <w:rFonts w:hint="eastAsia" w:eastAsia="仿宋_GB2312"/>
                <w:color w:val="auto"/>
                <w:kern w:val="0"/>
                <w:sz w:val="22"/>
                <w:lang w:val="en-US" w:eastAsia="zh-CN"/>
              </w:rPr>
              <w:t>经评价组通过对省人大常委会2019年工作计划及年终工作总结、绩效目标申报表审查，对14个市州及省本级发放300份调查问卷数据统计分析，省人大立法对社会的影响度达到95%以上，根据打分规则，该项指标得分为权重分值的80%；</w:t>
            </w:r>
          </w:p>
        </w:tc>
        <w:tc>
          <w:tcPr>
            <w:tcW w:w="960"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4.8</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80%</w:t>
            </w:r>
          </w:p>
        </w:tc>
      </w:tr>
      <w:tr>
        <w:tblPrEx>
          <w:tblLayout w:type="fixed"/>
          <w:tblCellMar>
            <w:top w:w="0" w:type="dxa"/>
            <w:left w:w="108" w:type="dxa"/>
            <w:bottom w:w="0" w:type="dxa"/>
            <w:right w:w="108" w:type="dxa"/>
          </w:tblCellMar>
        </w:tblPrEx>
        <w:trPr>
          <w:trHeight w:val="45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rPr>
            </w:pPr>
            <w:r>
              <w:rPr>
                <w:rFonts w:hint="eastAsia" w:eastAsia="仿宋_GB2312"/>
                <w:color w:val="auto"/>
                <w:sz w:val="22"/>
                <w:szCs w:val="22"/>
              </w:rPr>
              <w:t>参与立法人员满意度</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eastAsia="zh-CN"/>
              </w:rPr>
            </w:pPr>
            <w:r>
              <w:rPr>
                <w:rFonts w:hint="eastAsia" w:eastAsia="仿宋_GB2312"/>
                <w:color w:val="auto"/>
                <w:kern w:val="0"/>
                <w:sz w:val="22"/>
                <w:lang w:val="en-US" w:eastAsia="zh-CN"/>
              </w:rPr>
              <w:t>4</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&gt;=</w:t>
            </w:r>
            <w:r>
              <w:rPr>
                <w:rFonts w:hint="eastAsia" w:eastAsia="仿宋_GB2312"/>
                <w:color w:val="auto"/>
                <w:kern w:val="0"/>
                <w:sz w:val="22"/>
                <w:lang w:eastAsia="zh-CN"/>
              </w:rPr>
              <w:t>9</w:t>
            </w:r>
            <w:r>
              <w:rPr>
                <w:rFonts w:hint="eastAsia" w:eastAsia="仿宋_GB2312"/>
                <w:color w:val="auto"/>
                <w:kern w:val="0"/>
                <w:sz w:val="22"/>
                <w:lang w:val="en-US" w:eastAsia="zh-CN"/>
              </w:rPr>
              <w:t>0</w:t>
            </w:r>
            <w:r>
              <w:rPr>
                <w:rFonts w:hint="eastAsia" w:eastAsia="仿宋_GB2312"/>
                <w:color w:val="auto"/>
                <w:kern w:val="0"/>
                <w:sz w:val="22"/>
              </w:rPr>
              <w:t>%</w:t>
            </w:r>
          </w:p>
        </w:tc>
        <w:tc>
          <w:tcPr>
            <w:tcW w:w="3300" w:type="dxa"/>
            <w:tcBorders>
              <w:top w:val="nil"/>
              <w:left w:val="single" w:color="auto" w:sz="4" w:space="0"/>
              <w:bottom w:val="single" w:color="auto" w:sz="4" w:space="0"/>
              <w:right w:val="single" w:color="auto" w:sz="4" w:space="0"/>
            </w:tcBorders>
            <w:vAlign w:val="center"/>
          </w:tcPr>
          <w:p>
            <w:pPr>
              <w:widowControl/>
              <w:rPr>
                <w:rFonts w:hint="eastAsia"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考察从事或参与立法人员对立法工作的</w:t>
            </w:r>
            <w:r>
              <w:rPr>
                <w:rFonts w:hint="eastAsia" w:eastAsia="仿宋_GB2312"/>
                <w:color w:val="auto"/>
                <w:kern w:val="0"/>
                <w:sz w:val="22"/>
              </w:rPr>
              <w:t>满意程度</w:t>
            </w:r>
            <w:r>
              <w:rPr>
                <w:rFonts w:hint="eastAsia" w:eastAsia="仿宋_GB2312"/>
                <w:color w:val="auto"/>
                <w:kern w:val="0"/>
                <w:sz w:val="22"/>
                <w:lang w:eastAsia="zh-CN"/>
              </w:rPr>
              <w:t>，</w:t>
            </w:r>
            <w:r>
              <w:rPr>
                <w:rFonts w:hint="eastAsia" w:eastAsia="仿宋_GB2312"/>
                <w:color w:val="auto"/>
                <w:kern w:val="0"/>
                <w:sz w:val="22"/>
              </w:rPr>
              <w:t>达到目标值得</w:t>
            </w:r>
            <w:r>
              <w:rPr>
                <w:rFonts w:hint="eastAsia" w:eastAsia="仿宋_GB2312"/>
                <w:color w:val="auto"/>
                <w:kern w:val="0"/>
                <w:sz w:val="22"/>
                <w:lang w:val="en-US" w:eastAsia="zh-CN"/>
              </w:rPr>
              <w:t>80%权重分，</w:t>
            </w:r>
            <w:r>
              <w:rPr>
                <w:rFonts w:hint="eastAsia" w:eastAsia="仿宋_GB2312"/>
                <w:color w:val="auto"/>
                <w:kern w:val="0"/>
                <w:sz w:val="22"/>
              </w:rPr>
              <w:t>否则不得分；每超过标杆值的1%增加</w:t>
            </w:r>
            <w:r>
              <w:rPr>
                <w:rFonts w:hint="eastAsia" w:eastAsia="仿宋_GB2312"/>
                <w:color w:val="auto"/>
                <w:kern w:val="0"/>
                <w:sz w:val="22"/>
                <w:lang w:val="en-US" w:eastAsia="zh-CN"/>
              </w:rPr>
              <w:t>1</w:t>
            </w:r>
            <w:r>
              <w:rPr>
                <w:rFonts w:hint="eastAsia" w:eastAsia="仿宋_GB2312"/>
                <w:color w:val="auto"/>
                <w:kern w:val="0"/>
                <w:sz w:val="22"/>
              </w:rPr>
              <w:t>%权重分，加满为止。（</w:t>
            </w:r>
            <w:r>
              <w:rPr>
                <w:rFonts w:hint="eastAsia" w:eastAsia="仿宋_GB2312"/>
                <w:color w:val="auto"/>
                <w:kern w:val="0"/>
                <w:sz w:val="22"/>
                <w:lang w:val="en-US" w:eastAsia="zh-CN"/>
              </w:rPr>
              <w:t>4</w:t>
            </w:r>
            <w:r>
              <w:rPr>
                <w:rFonts w:hint="eastAsia" w:eastAsia="仿宋_GB2312"/>
                <w:color w:val="auto"/>
                <w:kern w:val="0"/>
                <w:sz w:val="22"/>
              </w:rPr>
              <w:t>分）</w:t>
            </w:r>
          </w:p>
        </w:tc>
        <w:tc>
          <w:tcPr>
            <w:tcW w:w="1320" w:type="dxa"/>
            <w:tcBorders>
              <w:top w:val="nil"/>
              <w:left w:val="nil"/>
              <w:bottom w:val="single" w:color="auto" w:sz="4" w:space="0"/>
              <w:right w:val="single" w:color="auto" w:sz="4" w:space="0"/>
            </w:tcBorders>
            <w:vAlign w:val="center"/>
          </w:tcPr>
          <w:p>
            <w:pPr>
              <w:widowControl/>
              <w:rPr>
                <w:rFonts w:hint="default" w:eastAsia="仿宋_GB2312"/>
                <w:color w:val="auto"/>
                <w:kern w:val="0"/>
                <w:sz w:val="22"/>
                <w:lang w:val="en-US" w:eastAsia="zh-CN"/>
              </w:rPr>
            </w:pPr>
            <w:r>
              <w:rPr>
                <w:rFonts w:hint="eastAsia" w:eastAsia="仿宋_GB2312"/>
                <w:color w:val="auto"/>
                <w:kern w:val="0"/>
                <w:sz w:val="22"/>
                <w:lang w:val="en-US" w:eastAsia="zh-CN"/>
              </w:rPr>
              <w:t>调查问卷</w:t>
            </w:r>
          </w:p>
        </w:tc>
        <w:tc>
          <w:tcPr>
            <w:tcW w:w="2268" w:type="dxa"/>
            <w:tcBorders>
              <w:top w:val="nil"/>
              <w:left w:val="nil"/>
              <w:bottom w:val="single" w:color="auto" w:sz="4" w:space="0"/>
              <w:right w:val="single" w:color="auto" w:sz="4" w:space="0"/>
            </w:tcBorders>
            <w:vAlign w:val="center"/>
          </w:tcPr>
          <w:p>
            <w:pPr>
              <w:widowControl/>
              <w:rPr>
                <w:rFonts w:hint="eastAsia" w:eastAsia="仿宋_GB2312"/>
                <w:color w:val="auto"/>
                <w:kern w:val="0"/>
                <w:sz w:val="22"/>
              </w:rPr>
            </w:pPr>
            <w:r>
              <w:rPr>
                <w:rFonts w:hint="eastAsia" w:eastAsia="仿宋_GB2312"/>
                <w:color w:val="auto"/>
                <w:kern w:val="0"/>
                <w:sz w:val="22"/>
                <w:lang w:val="en-US" w:eastAsia="zh-CN"/>
              </w:rPr>
              <w:t>经评价组通过对发放的50份调查问卷数据进行收集汇总分析，发现从事或参与立法人员对立法工作的</w:t>
            </w:r>
            <w:r>
              <w:rPr>
                <w:rFonts w:hint="eastAsia" w:eastAsia="仿宋_GB2312"/>
                <w:color w:val="auto"/>
                <w:kern w:val="0"/>
                <w:sz w:val="22"/>
              </w:rPr>
              <w:t>满意程度</w:t>
            </w:r>
            <w:r>
              <w:rPr>
                <w:rFonts w:hint="eastAsia" w:eastAsia="仿宋_GB2312"/>
                <w:color w:val="auto"/>
                <w:kern w:val="0"/>
                <w:sz w:val="22"/>
                <w:lang w:val="en-US" w:eastAsia="zh-CN"/>
              </w:rPr>
              <w:t>达到预定目标值90%，根据打分规则，该项指标得分为权重分值的80%；</w:t>
            </w:r>
          </w:p>
        </w:tc>
        <w:tc>
          <w:tcPr>
            <w:tcW w:w="960"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3.4</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80%</w:t>
            </w:r>
          </w:p>
        </w:tc>
      </w:tr>
      <w:tr>
        <w:tblPrEx>
          <w:tblLayout w:type="fixed"/>
          <w:tblCellMar>
            <w:top w:w="0" w:type="dxa"/>
            <w:left w:w="108" w:type="dxa"/>
            <w:bottom w:w="0" w:type="dxa"/>
            <w:right w:w="108" w:type="dxa"/>
          </w:tblCellMar>
        </w:tblPrEx>
        <w:trPr>
          <w:trHeight w:val="450" w:hRule="atLeast"/>
        </w:trPr>
        <w:tc>
          <w:tcPr>
            <w:tcW w:w="671"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5" w:type="dxa"/>
            <w:vMerge w:val="continue"/>
            <w:tcBorders>
              <w:top w:val="nil"/>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tcBorders>
              <w:top w:val="nil"/>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sz w:val="22"/>
                <w:szCs w:val="22"/>
              </w:rPr>
              <w:t>社会人群满意度</w:t>
            </w:r>
          </w:p>
        </w:tc>
        <w:tc>
          <w:tcPr>
            <w:tcW w:w="709"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eastAsia="zh-CN"/>
              </w:rPr>
            </w:pPr>
            <w:r>
              <w:rPr>
                <w:rFonts w:hint="eastAsia" w:eastAsia="仿宋_GB2312"/>
                <w:color w:val="auto"/>
                <w:kern w:val="0"/>
                <w:sz w:val="22"/>
                <w:lang w:val="en-US" w:eastAsia="zh-CN"/>
              </w:rPr>
              <w:t>5</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eastAsia="仿宋_GB2312"/>
                <w:color w:val="auto"/>
                <w:kern w:val="0"/>
                <w:sz w:val="22"/>
              </w:rPr>
            </w:pPr>
            <w:r>
              <w:rPr>
                <w:rFonts w:hint="eastAsia" w:eastAsia="仿宋_GB2312"/>
                <w:color w:val="auto"/>
                <w:kern w:val="0"/>
                <w:sz w:val="22"/>
              </w:rPr>
              <w:t>&gt;=</w:t>
            </w:r>
            <w:r>
              <w:rPr>
                <w:rFonts w:hint="eastAsia" w:eastAsia="仿宋_GB2312"/>
                <w:color w:val="auto"/>
                <w:kern w:val="0"/>
                <w:sz w:val="22"/>
                <w:lang w:eastAsia="zh-CN"/>
              </w:rPr>
              <w:t>9</w:t>
            </w:r>
            <w:r>
              <w:rPr>
                <w:rFonts w:hint="eastAsia" w:eastAsia="仿宋_GB2312"/>
                <w:color w:val="auto"/>
                <w:kern w:val="0"/>
                <w:sz w:val="22"/>
                <w:lang w:val="en-US" w:eastAsia="zh-CN"/>
              </w:rPr>
              <w:t>0</w:t>
            </w:r>
            <w:r>
              <w:rPr>
                <w:rFonts w:hint="eastAsia" w:eastAsia="仿宋_GB2312"/>
                <w:color w:val="auto"/>
                <w:kern w:val="0"/>
                <w:sz w:val="22"/>
              </w:rPr>
              <w:t>%</w:t>
            </w:r>
          </w:p>
        </w:tc>
        <w:tc>
          <w:tcPr>
            <w:tcW w:w="3300" w:type="dxa"/>
            <w:tcBorders>
              <w:top w:val="nil"/>
              <w:left w:val="single" w:color="auto" w:sz="4" w:space="0"/>
              <w:bottom w:val="single" w:color="auto" w:sz="4" w:space="0"/>
              <w:right w:val="single" w:color="auto" w:sz="4" w:space="0"/>
            </w:tcBorders>
            <w:vAlign w:val="center"/>
          </w:tcPr>
          <w:p>
            <w:pPr>
              <w:widowControl/>
              <w:rPr>
                <w:rFonts w:ascii="Calibri" w:hAnsi="Calibri" w:eastAsia="仿宋_GB2312" w:cs="Times New Roman"/>
                <w:color w:val="auto"/>
                <w:kern w:val="0"/>
                <w:sz w:val="22"/>
                <w:szCs w:val="24"/>
                <w:lang w:val="en-US" w:eastAsia="zh-CN" w:bidi="ar-SA"/>
              </w:rPr>
            </w:pPr>
            <w:r>
              <w:rPr>
                <w:rFonts w:hint="eastAsia" w:eastAsia="仿宋_GB2312"/>
                <w:color w:val="auto"/>
                <w:kern w:val="0"/>
                <w:sz w:val="22"/>
              </w:rPr>
              <w:t>达到目标值得</w:t>
            </w:r>
            <w:r>
              <w:rPr>
                <w:rFonts w:hint="eastAsia" w:eastAsia="仿宋_GB2312"/>
                <w:color w:val="auto"/>
                <w:kern w:val="0"/>
                <w:sz w:val="22"/>
                <w:lang w:val="en-US" w:eastAsia="zh-CN"/>
              </w:rPr>
              <w:t>80%权重分，</w:t>
            </w:r>
            <w:r>
              <w:rPr>
                <w:rFonts w:hint="eastAsia" w:eastAsia="仿宋_GB2312"/>
                <w:color w:val="auto"/>
                <w:kern w:val="0"/>
                <w:sz w:val="22"/>
              </w:rPr>
              <w:t>否则不得分；每超过标杆值的1%增加5%权重分，加满为止。（</w:t>
            </w:r>
            <w:r>
              <w:rPr>
                <w:rFonts w:hint="eastAsia" w:eastAsia="仿宋_GB2312"/>
                <w:color w:val="auto"/>
                <w:kern w:val="0"/>
                <w:sz w:val="22"/>
                <w:lang w:val="en-US" w:eastAsia="zh-CN"/>
              </w:rPr>
              <w:t>5</w:t>
            </w:r>
            <w:r>
              <w:rPr>
                <w:rFonts w:hint="eastAsia" w:eastAsia="仿宋_GB2312"/>
                <w:color w:val="auto"/>
                <w:kern w:val="0"/>
                <w:sz w:val="22"/>
              </w:rPr>
              <w:t>分）</w:t>
            </w:r>
          </w:p>
        </w:tc>
        <w:tc>
          <w:tcPr>
            <w:tcW w:w="1320" w:type="dxa"/>
            <w:tcBorders>
              <w:top w:val="nil"/>
              <w:left w:val="nil"/>
              <w:bottom w:val="single" w:color="auto" w:sz="4" w:space="0"/>
              <w:right w:val="single" w:color="auto" w:sz="4" w:space="0"/>
            </w:tcBorders>
            <w:vAlign w:val="center"/>
          </w:tcPr>
          <w:p>
            <w:pPr>
              <w:widowControl/>
              <w:rPr>
                <w:rFonts w:hint="default"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调查问卷</w:t>
            </w:r>
          </w:p>
        </w:tc>
        <w:tc>
          <w:tcPr>
            <w:tcW w:w="2268" w:type="dxa"/>
            <w:tcBorders>
              <w:top w:val="nil"/>
              <w:left w:val="nil"/>
              <w:bottom w:val="single" w:color="auto" w:sz="4" w:space="0"/>
              <w:right w:val="single" w:color="auto" w:sz="4" w:space="0"/>
            </w:tcBorders>
            <w:vAlign w:val="center"/>
          </w:tcPr>
          <w:p>
            <w:pPr>
              <w:widowControl/>
              <w:rPr>
                <w:rFonts w:hint="eastAsia" w:ascii="Calibri" w:hAnsi="Calibri" w:eastAsia="仿宋_GB2312" w:cs="Times New Roman"/>
                <w:color w:val="auto"/>
                <w:kern w:val="0"/>
                <w:sz w:val="22"/>
                <w:szCs w:val="24"/>
                <w:lang w:val="en-US" w:eastAsia="zh-CN" w:bidi="ar-SA"/>
              </w:rPr>
            </w:pPr>
            <w:r>
              <w:rPr>
                <w:rFonts w:hint="eastAsia" w:eastAsia="仿宋_GB2312"/>
                <w:color w:val="auto"/>
                <w:kern w:val="0"/>
                <w:sz w:val="22"/>
                <w:lang w:val="en-US" w:eastAsia="zh-CN"/>
              </w:rPr>
              <w:t>经评价组通过对面向甘肃省全省14个地州及省本级发放的300份调查问卷数据进行收集汇总分析，发现社会大众对立法工作的</w:t>
            </w:r>
            <w:r>
              <w:rPr>
                <w:rFonts w:hint="eastAsia" w:eastAsia="仿宋_GB2312"/>
                <w:color w:val="auto"/>
                <w:kern w:val="0"/>
                <w:sz w:val="22"/>
              </w:rPr>
              <w:t>满意程度</w:t>
            </w:r>
            <w:r>
              <w:rPr>
                <w:rFonts w:hint="eastAsia" w:eastAsia="仿宋_GB2312"/>
                <w:color w:val="auto"/>
                <w:kern w:val="0"/>
                <w:sz w:val="22"/>
                <w:lang w:val="en-US" w:eastAsia="zh-CN"/>
              </w:rPr>
              <w:t>达到预定目标值90%，根据打分规则，该项指标得分为权重分值的80%；</w:t>
            </w:r>
          </w:p>
        </w:tc>
        <w:tc>
          <w:tcPr>
            <w:tcW w:w="960" w:type="dxa"/>
            <w:tcBorders>
              <w:top w:val="nil"/>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4</w:t>
            </w:r>
          </w:p>
        </w:tc>
        <w:tc>
          <w:tcPr>
            <w:tcW w:w="1176" w:type="dxa"/>
            <w:tcBorders>
              <w:top w:val="nil"/>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80%</w:t>
            </w:r>
          </w:p>
        </w:tc>
      </w:tr>
      <w:tr>
        <w:tblPrEx>
          <w:tblLayout w:type="fixed"/>
          <w:tblCellMar>
            <w:top w:w="0" w:type="dxa"/>
            <w:left w:w="108" w:type="dxa"/>
            <w:bottom w:w="0" w:type="dxa"/>
            <w:right w:w="108" w:type="dxa"/>
          </w:tblCellMar>
        </w:tblPrEx>
        <w:trPr>
          <w:trHeight w:val="654" w:hRule="atLeast"/>
        </w:trPr>
        <w:tc>
          <w:tcPr>
            <w:tcW w:w="6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r>
              <w:rPr>
                <w:rFonts w:hint="eastAsia" w:eastAsia="仿宋_GB2312"/>
                <w:color w:val="auto"/>
                <w:kern w:val="0"/>
                <w:sz w:val="22"/>
                <w:lang w:val="en-US" w:eastAsia="zh-CN"/>
              </w:rPr>
              <w:t>总分</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olor w:val="auto"/>
                <w:kern w:val="0"/>
                <w:sz w:val="22"/>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sz w:val="22"/>
                <w:szCs w:val="22"/>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100</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kern w:val="0"/>
                <w:sz w:val="22"/>
              </w:rPr>
            </w:pPr>
          </w:p>
        </w:tc>
        <w:tc>
          <w:tcPr>
            <w:tcW w:w="3300"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仿宋_GB2312"/>
                <w:color w:val="auto"/>
                <w:kern w:val="0"/>
                <w:sz w:val="22"/>
              </w:rPr>
            </w:pPr>
          </w:p>
        </w:tc>
        <w:tc>
          <w:tcPr>
            <w:tcW w:w="1320" w:type="dxa"/>
            <w:tcBorders>
              <w:top w:val="single" w:color="auto" w:sz="4" w:space="0"/>
              <w:left w:val="nil"/>
              <w:bottom w:val="single" w:color="auto" w:sz="4" w:space="0"/>
              <w:right w:val="single" w:color="auto" w:sz="4" w:space="0"/>
            </w:tcBorders>
            <w:vAlign w:val="center"/>
          </w:tcPr>
          <w:p>
            <w:pPr>
              <w:widowControl/>
              <w:rPr>
                <w:rFonts w:hint="eastAsia" w:eastAsia="仿宋_GB2312"/>
                <w:color w:val="auto"/>
                <w:kern w:val="0"/>
                <w:sz w:val="22"/>
                <w:lang w:val="en-US" w:eastAsia="zh-CN"/>
              </w:rPr>
            </w:pPr>
          </w:p>
        </w:tc>
        <w:tc>
          <w:tcPr>
            <w:tcW w:w="2268" w:type="dxa"/>
            <w:tcBorders>
              <w:top w:val="single" w:color="auto" w:sz="4" w:space="0"/>
              <w:left w:val="nil"/>
              <w:bottom w:val="single" w:color="auto" w:sz="4" w:space="0"/>
              <w:right w:val="single" w:color="auto" w:sz="4" w:space="0"/>
            </w:tcBorders>
            <w:vAlign w:val="center"/>
          </w:tcPr>
          <w:p>
            <w:pPr>
              <w:widowControl/>
              <w:rPr>
                <w:rFonts w:hint="eastAsia" w:eastAsia="仿宋_GB2312"/>
                <w:color w:val="auto"/>
                <w:kern w:val="0"/>
                <w:sz w:val="22"/>
                <w:lang w:val="en-US" w:eastAsia="zh-CN"/>
              </w:rPr>
            </w:pPr>
          </w:p>
        </w:tc>
        <w:tc>
          <w:tcPr>
            <w:tcW w:w="960" w:type="dxa"/>
            <w:tcBorders>
              <w:top w:val="single" w:color="auto" w:sz="4" w:space="0"/>
              <w:left w:val="nil"/>
              <w:bottom w:val="single" w:color="auto" w:sz="4" w:space="0"/>
              <w:right w:val="single" w:color="auto" w:sz="4" w:space="0"/>
            </w:tcBorders>
            <w:vAlign w:val="center"/>
          </w:tcPr>
          <w:p>
            <w:pPr>
              <w:widowControl/>
              <w:jc w:val="center"/>
              <w:rPr>
                <w:rFonts w:hint="default" w:eastAsia="仿宋_GB2312"/>
                <w:color w:val="auto"/>
                <w:kern w:val="0"/>
                <w:sz w:val="22"/>
                <w:lang w:val="en-US" w:eastAsia="zh-CN"/>
              </w:rPr>
            </w:pPr>
            <w:r>
              <w:rPr>
                <w:rFonts w:hint="eastAsia" w:eastAsia="仿宋_GB2312"/>
                <w:color w:val="auto"/>
                <w:kern w:val="0"/>
                <w:sz w:val="22"/>
                <w:lang w:val="en-US" w:eastAsia="zh-CN"/>
              </w:rPr>
              <w:t>90.7</w:t>
            </w:r>
          </w:p>
        </w:tc>
        <w:tc>
          <w:tcPr>
            <w:tcW w:w="1176" w:type="dxa"/>
            <w:tcBorders>
              <w:top w:val="single" w:color="auto" w:sz="4" w:space="0"/>
              <w:left w:val="nil"/>
              <w:bottom w:val="single" w:color="auto" w:sz="4" w:space="0"/>
              <w:right w:val="single" w:color="auto" w:sz="4" w:space="0"/>
            </w:tcBorders>
            <w:vAlign w:val="center"/>
          </w:tcPr>
          <w:p>
            <w:pPr>
              <w:widowControl/>
              <w:jc w:val="center"/>
              <w:rPr>
                <w:rFonts w:hint="eastAsia" w:eastAsia="仿宋_GB2312"/>
                <w:color w:val="auto"/>
                <w:kern w:val="0"/>
                <w:sz w:val="22"/>
                <w:lang w:val="en-US" w:eastAsia="zh-CN"/>
              </w:rPr>
            </w:pPr>
          </w:p>
        </w:tc>
      </w:tr>
    </w:tbl>
    <w:p>
      <w:pPr>
        <w:numPr>
          <w:ilvl w:val="0"/>
          <w:numId w:val="0"/>
        </w:numPr>
        <w:jc w:val="both"/>
        <w:rPr>
          <w:rFonts w:hint="default" w:ascii="Times New Roman" w:hAnsi="Times New Roman" w:eastAsia="仿宋_GB2312"/>
          <w:color w:val="auto"/>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center"/>
    </w:pPr>
    <w:r>
      <w:fldChar w:fldCharType="begin"/>
    </w:r>
    <w:r>
      <w:instrText xml:space="preserve">PAGE   \* MERGEFORMAT</w:instrText>
    </w:r>
    <w:r>
      <w:fldChar w:fldCharType="separate"/>
    </w:r>
    <w:r>
      <w:rPr>
        <w:lang w:val="zh-CN"/>
      </w:rPr>
      <w:t>13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51349333">
    <w:nsid w:val="921C9F55"/>
    <w:multiLevelType w:val="singleLevel"/>
    <w:tmpl w:val="921C9F55"/>
    <w:lvl w:ilvl="0" w:tentative="1">
      <w:start w:val="3"/>
      <w:numFmt w:val="decimal"/>
      <w:suff w:val="nothing"/>
      <w:lvlText w:val="%1、"/>
      <w:lvlJc w:val="left"/>
    </w:lvl>
  </w:abstractNum>
  <w:abstractNum w:abstractNumId="3482793077">
    <w:nsid w:val="CF973475"/>
    <w:multiLevelType w:val="singleLevel"/>
    <w:tmpl w:val="CF973475"/>
    <w:lvl w:ilvl="0" w:tentative="1">
      <w:start w:val="1"/>
      <w:numFmt w:val="chineseCounting"/>
      <w:suff w:val="nothing"/>
      <w:lvlText w:val="%1、"/>
      <w:lvlJc w:val="left"/>
      <w:rPr>
        <w:rFonts w:hint="eastAsia"/>
      </w:rPr>
    </w:lvl>
  </w:abstractNum>
  <w:abstractNum w:abstractNumId="3642654177">
    <w:nsid w:val="D91E7DE1"/>
    <w:multiLevelType w:val="singleLevel"/>
    <w:tmpl w:val="D91E7DE1"/>
    <w:lvl w:ilvl="0" w:tentative="1">
      <w:start w:val="2"/>
      <w:numFmt w:val="decimal"/>
      <w:suff w:val="nothing"/>
      <w:lvlText w:val="%1、"/>
      <w:lvlJc w:val="left"/>
    </w:lvl>
  </w:abstractNum>
  <w:abstractNum w:abstractNumId="4113261188">
    <w:nsid w:val="F52B6284"/>
    <w:multiLevelType w:val="singleLevel"/>
    <w:tmpl w:val="F52B6284"/>
    <w:lvl w:ilvl="0" w:tentative="1">
      <w:start w:val="1"/>
      <w:numFmt w:val="decimal"/>
      <w:suff w:val="nothing"/>
      <w:lvlText w:val="%1、"/>
      <w:lvlJc w:val="left"/>
    </w:lvl>
  </w:abstractNum>
  <w:abstractNum w:abstractNumId="2219911798">
    <w:nsid w:val="84512A76"/>
    <w:multiLevelType w:val="singleLevel"/>
    <w:tmpl w:val="84512A76"/>
    <w:lvl w:ilvl="0" w:tentative="1">
      <w:start w:val="1"/>
      <w:numFmt w:val="decimal"/>
      <w:suff w:val="nothing"/>
      <w:lvlText w:val="（%1）"/>
      <w:lvlJc w:val="left"/>
    </w:lvl>
  </w:abstractNum>
  <w:abstractNum w:abstractNumId="3936645080">
    <w:nsid w:val="EAA46FD8"/>
    <w:multiLevelType w:val="singleLevel"/>
    <w:tmpl w:val="EAA46FD8"/>
    <w:lvl w:ilvl="0" w:tentative="1">
      <w:start w:val="3"/>
      <w:numFmt w:val="decimal"/>
      <w:suff w:val="nothing"/>
      <w:lvlText w:val="（%1）"/>
      <w:lvlJc w:val="left"/>
    </w:lvl>
  </w:abstractNum>
  <w:num w:numId="1">
    <w:abstractNumId w:val="3482793077"/>
  </w:num>
  <w:num w:numId="2">
    <w:abstractNumId w:val="2451349333"/>
  </w:num>
  <w:num w:numId="3">
    <w:abstractNumId w:val="3642654177"/>
  </w:num>
  <w:num w:numId="4">
    <w:abstractNumId w:val="4113261188"/>
  </w:num>
  <w:num w:numId="5">
    <w:abstractNumId w:val="2219911798"/>
  </w:num>
  <w:num w:numId="6">
    <w:abstractNumId w:val="39366450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3118A"/>
    <w:rsid w:val="0105035F"/>
    <w:rsid w:val="01BE6C88"/>
    <w:rsid w:val="038F7A56"/>
    <w:rsid w:val="04FC3374"/>
    <w:rsid w:val="052D251A"/>
    <w:rsid w:val="057D5A33"/>
    <w:rsid w:val="05DD0A66"/>
    <w:rsid w:val="06A8157B"/>
    <w:rsid w:val="07433DD0"/>
    <w:rsid w:val="08FB562B"/>
    <w:rsid w:val="09557046"/>
    <w:rsid w:val="0B763522"/>
    <w:rsid w:val="0B7F6D31"/>
    <w:rsid w:val="0D6F4545"/>
    <w:rsid w:val="0ED92CE9"/>
    <w:rsid w:val="0FFB44FA"/>
    <w:rsid w:val="114C4E6A"/>
    <w:rsid w:val="122B4DB2"/>
    <w:rsid w:val="130B0574"/>
    <w:rsid w:val="14F44D4A"/>
    <w:rsid w:val="16213580"/>
    <w:rsid w:val="16F64E2C"/>
    <w:rsid w:val="17A149C3"/>
    <w:rsid w:val="17CC781A"/>
    <w:rsid w:val="1A4039AB"/>
    <w:rsid w:val="1AF75A21"/>
    <w:rsid w:val="1AFD2B3B"/>
    <w:rsid w:val="1B073990"/>
    <w:rsid w:val="1B2315AB"/>
    <w:rsid w:val="1C257C17"/>
    <w:rsid w:val="1C322F51"/>
    <w:rsid w:val="1C676B9B"/>
    <w:rsid w:val="1D191073"/>
    <w:rsid w:val="1D2561F5"/>
    <w:rsid w:val="1DCE34E1"/>
    <w:rsid w:val="20732647"/>
    <w:rsid w:val="20A560DE"/>
    <w:rsid w:val="20DD1774"/>
    <w:rsid w:val="2180469C"/>
    <w:rsid w:val="227F231A"/>
    <w:rsid w:val="22E42EA8"/>
    <w:rsid w:val="235A686F"/>
    <w:rsid w:val="2469099C"/>
    <w:rsid w:val="254321A8"/>
    <w:rsid w:val="25A47E63"/>
    <w:rsid w:val="25D50A11"/>
    <w:rsid w:val="266B7D98"/>
    <w:rsid w:val="26C4156D"/>
    <w:rsid w:val="2A375BC2"/>
    <w:rsid w:val="2A84503E"/>
    <w:rsid w:val="2AFC7B96"/>
    <w:rsid w:val="2C2A1F59"/>
    <w:rsid w:val="2C6F6C6C"/>
    <w:rsid w:val="2C852C6E"/>
    <w:rsid w:val="2C881F93"/>
    <w:rsid w:val="2DD12F19"/>
    <w:rsid w:val="2DD4691B"/>
    <w:rsid w:val="2E011986"/>
    <w:rsid w:val="2E50214F"/>
    <w:rsid w:val="30E513EC"/>
    <w:rsid w:val="312C7422"/>
    <w:rsid w:val="320E2D85"/>
    <w:rsid w:val="354A36B8"/>
    <w:rsid w:val="35C66C3A"/>
    <w:rsid w:val="36332D8B"/>
    <w:rsid w:val="363805AF"/>
    <w:rsid w:val="36EF2B36"/>
    <w:rsid w:val="37112C98"/>
    <w:rsid w:val="373B20A1"/>
    <w:rsid w:val="37B235D3"/>
    <w:rsid w:val="37B50DF4"/>
    <w:rsid w:val="3838645C"/>
    <w:rsid w:val="383F0E1F"/>
    <w:rsid w:val="3984493A"/>
    <w:rsid w:val="3A1A2E22"/>
    <w:rsid w:val="3A327F54"/>
    <w:rsid w:val="3B034BCB"/>
    <w:rsid w:val="3BB1130A"/>
    <w:rsid w:val="3C1D03C1"/>
    <w:rsid w:val="3C5341CA"/>
    <w:rsid w:val="3CBF6537"/>
    <w:rsid w:val="3E080BF8"/>
    <w:rsid w:val="40BF594A"/>
    <w:rsid w:val="4102132E"/>
    <w:rsid w:val="411C22DA"/>
    <w:rsid w:val="43463C6E"/>
    <w:rsid w:val="435D322C"/>
    <w:rsid w:val="46213351"/>
    <w:rsid w:val="46275408"/>
    <w:rsid w:val="46F04050"/>
    <w:rsid w:val="4701192D"/>
    <w:rsid w:val="4931210C"/>
    <w:rsid w:val="49B16BBD"/>
    <w:rsid w:val="49F2419A"/>
    <w:rsid w:val="4B3465FB"/>
    <w:rsid w:val="4B376B0E"/>
    <w:rsid w:val="4B793CF1"/>
    <w:rsid w:val="4BEE0A68"/>
    <w:rsid w:val="4CC36ABD"/>
    <w:rsid w:val="4CD377B7"/>
    <w:rsid w:val="4D21090C"/>
    <w:rsid w:val="4DC25ACB"/>
    <w:rsid w:val="4E0609E6"/>
    <w:rsid w:val="4E55657F"/>
    <w:rsid w:val="4E87435C"/>
    <w:rsid w:val="4EA740A5"/>
    <w:rsid w:val="516B7AEB"/>
    <w:rsid w:val="53580209"/>
    <w:rsid w:val="538143DC"/>
    <w:rsid w:val="54FA73C8"/>
    <w:rsid w:val="5627594E"/>
    <w:rsid w:val="56660A35"/>
    <w:rsid w:val="585022AD"/>
    <w:rsid w:val="5935620C"/>
    <w:rsid w:val="599A629B"/>
    <w:rsid w:val="5A16766D"/>
    <w:rsid w:val="5AE0025C"/>
    <w:rsid w:val="5BF86487"/>
    <w:rsid w:val="5C315CA2"/>
    <w:rsid w:val="5C8C274F"/>
    <w:rsid w:val="5CE03369"/>
    <w:rsid w:val="5CF16CE2"/>
    <w:rsid w:val="5D630D9E"/>
    <w:rsid w:val="5E91116F"/>
    <w:rsid w:val="63CA47D1"/>
    <w:rsid w:val="68270EA4"/>
    <w:rsid w:val="692A74BF"/>
    <w:rsid w:val="6A791216"/>
    <w:rsid w:val="6B26415D"/>
    <w:rsid w:val="6BB85578"/>
    <w:rsid w:val="6C416D75"/>
    <w:rsid w:val="6DC12CAF"/>
    <w:rsid w:val="6EA921CF"/>
    <w:rsid w:val="6EDB7DA1"/>
    <w:rsid w:val="6FCF3734"/>
    <w:rsid w:val="701E1F76"/>
    <w:rsid w:val="709A3F59"/>
    <w:rsid w:val="722859D6"/>
    <w:rsid w:val="72B00474"/>
    <w:rsid w:val="735C1C21"/>
    <w:rsid w:val="745B06C0"/>
    <w:rsid w:val="75180593"/>
    <w:rsid w:val="75297733"/>
    <w:rsid w:val="7568345C"/>
    <w:rsid w:val="76211F3B"/>
    <w:rsid w:val="77DD29F5"/>
    <w:rsid w:val="79AD064D"/>
    <w:rsid w:val="7BFA57B1"/>
    <w:rsid w:val="7C7E2574"/>
    <w:rsid w:val="7D8B6C97"/>
    <w:rsid w:val="7E25192E"/>
    <w:rsid w:val="7E9E23BD"/>
    <w:rsid w:val="7FA12A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cs="Times New Roman"/>
      <w:b/>
      <w:bCs/>
      <w:kern w:val="0"/>
      <w:sz w:val="32"/>
      <w:szCs w:val="32"/>
    </w:rPr>
  </w:style>
  <w:style w:type="character" w:default="1" w:styleId="9">
    <w:name w:val="Default Paragraph Font"/>
    <w:semiHidden/>
    <w:qFormat/>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3333"/>
      <w:u w:val="none"/>
      <w:shd w:val="clear" w:fill="FFFFFF"/>
    </w:rPr>
  </w:style>
  <w:style w:type="character" w:styleId="12">
    <w:name w:val="Emphasis"/>
    <w:basedOn w:val="9"/>
    <w:qFormat/>
    <w:uiPriority w:val="0"/>
  </w:style>
  <w:style w:type="character" w:styleId="13">
    <w:name w:val="Hyperlink"/>
    <w:basedOn w:val="9"/>
    <w:qFormat/>
    <w:uiPriority w:val="0"/>
    <w:rPr>
      <w:color w:val="333333"/>
      <w:u w:val="none"/>
    </w:rPr>
  </w:style>
  <w:style w:type="character" w:styleId="14">
    <w:name w:val="annotation reference"/>
    <w:unhideWhenUsed/>
    <w:qFormat/>
    <w:uiPriority w:val="99"/>
    <w:rPr>
      <w:sz w:val="21"/>
      <w:szCs w:val="21"/>
    </w:rPr>
  </w:style>
  <w:style w:type="table" w:styleId="16">
    <w:name w:val="Table Grid"/>
    <w:basedOn w:val="15"/>
    <w:qFormat/>
    <w:uiPriority w:val="39"/>
    <w:pPr>
      <w:spacing w:line="300" w:lineRule="exact"/>
      <w:jc w:val="center"/>
    </w:pPr>
    <w:rPr>
      <w:rFonts w:eastAsia="仿宋_GB231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rPr>
      <w:tblHeader/>
    </w:trPr>
    <w:tcPr>
      <w:vAlign w:val="center"/>
    </w:tcPr>
  </w:style>
  <w:style w:type="paragraph" w:customStyle="1" w:styleId="17">
    <w:name w:val="闻政正文"/>
    <w:basedOn w:val="1"/>
    <w:qFormat/>
    <w:uiPriority w:val="99"/>
    <w:pPr>
      <w:spacing w:line="500" w:lineRule="exact"/>
      <w:ind w:firstLine="640" w:firstLineChars="200"/>
    </w:pPr>
    <w:rPr>
      <w:rFonts w:eastAsia="仿宋_GB2312"/>
      <w:kern w:val="0"/>
      <w:sz w:val="28"/>
      <w:szCs w:val="28"/>
    </w:rPr>
  </w:style>
  <w:style w:type="paragraph" w:customStyle="1" w:styleId="18">
    <w:name w:val="闻政表"/>
    <w:basedOn w:val="1"/>
    <w:qFormat/>
    <w:uiPriority w:val="0"/>
    <w:pPr>
      <w:spacing w:before="60" w:after="60"/>
      <w:jc w:val="center"/>
    </w:pPr>
    <w:rPr>
      <w:rFonts w:ascii="Times New Roman" w:hAnsi="Times New Roman" w:eastAsia="仿宋_GB2312"/>
      <w:b/>
      <w:kern w:val="0"/>
      <w:sz w:val="24"/>
      <w:szCs w:val="28"/>
    </w:rPr>
  </w:style>
  <w:style w:type="paragraph" w:customStyle="1" w:styleId="19">
    <w:name w:val="闻政标题4"/>
    <w:basedOn w:val="2"/>
    <w:qFormat/>
    <w:uiPriority w:val="0"/>
    <w:pPr>
      <w:spacing w:before="120" w:after="60" w:line="500" w:lineRule="exact"/>
      <w:ind w:firstLine="200" w:firstLineChars="200"/>
      <w:jc w:val="left"/>
    </w:pPr>
    <w:rPr>
      <w:rFonts w:ascii="Times New Roman" w:hAnsi="Times New Roman" w:eastAsia="仿宋_GB2312" w:cs="Times New Roman"/>
      <w:sz w:val="28"/>
    </w:rPr>
  </w:style>
  <w:style w:type="character" w:customStyle="1" w:styleId="20">
    <w:name w:val="layui-laypage-curr"/>
    <w:basedOn w:val="9"/>
    <w:qFormat/>
    <w:uiPriority w:val="0"/>
  </w:style>
  <w:style w:type="paragraph" w:customStyle="1" w:styleId="21">
    <w:name w:val="WPSOffice手动目录 1"/>
    <w:qFormat/>
    <w:uiPriority w:val="0"/>
    <w:pPr>
      <w:ind w:leftChars="0"/>
    </w:pPr>
    <w:rPr>
      <w:rFonts w:ascii="Calibri" w:hAnsi="Calibri" w:eastAsia="宋体" w:cs="Times New Roman"/>
      <w:sz w:val="20"/>
      <w:szCs w:val="20"/>
    </w:rPr>
  </w:style>
  <w:style w:type="paragraph" w:customStyle="1" w:styleId="22">
    <w:name w:val="WPSOffice手动目录 2"/>
    <w:uiPriority w:val="0"/>
    <w:pPr>
      <w:ind w:leftChars="200"/>
    </w:pPr>
    <w:rPr>
      <w:rFonts w:ascii="Calibri" w:hAnsi="Calibri" w:eastAsia="宋体" w:cs="Times New Roman"/>
      <w:sz w:val="20"/>
      <w:szCs w:val="20"/>
    </w:rPr>
  </w:style>
  <w:style w:type="paragraph" w:customStyle="1" w:styleId="23">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lenovo</cp:lastModifiedBy>
  <cp:lastPrinted>2020-07-27T03:42:00Z</cp:lastPrinted>
  <dcterms:modified xsi:type="dcterms:W3CDTF">2020-08-21T06:36:14Z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