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w:t>
      </w:r>
      <w:r>
        <w:rPr>
          <w:rFonts w:hint="eastAsia" w:ascii="黑体" w:hAnsi="黑体" w:eastAsia="黑体" w:cs="黑体"/>
          <w:color w:val="auto"/>
          <w:spacing w:val="-20"/>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r>
        <w:rPr>
          <w:rFonts w:hint="eastAsia" w:ascii="方正小标宋简体" w:eastAsia="方正小标宋简体" w:cs="方正小标宋简体"/>
          <w:color w:val="auto"/>
          <w:spacing w:val="-20"/>
          <w:sz w:val="44"/>
          <w:szCs w:val="44"/>
          <w:lang w:bidi="ar-SA"/>
        </w:rPr>
        <w:t>关于《甘肃省辐射污染防治条例（修订草案）》</w:t>
      </w: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r>
        <w:rPr>
          <w:rFonts w:hint="eastAsia" w:ascii="方正小标宋简体" w:eastAsia="方正小标宋简体" w:cs="方正小标宋简体"/>
          <w:color w:val="auto"/>
          <w:spacing w:val="-20"/>
          <w:sz w:val="44"/>
          <w:szCs w:val="44"/>
          <w:lang w:val="en-US" w:eastAsia="zh-CN" w:bidi="ar-SA"/>
        </w:rPr>
        <w:t>的说明</w:t>
      </w:r>
    </w:p>
    <w:p>
      <w:pPr>
        <w:adjustRightInd w:val="0"/>
        <w:snapToGrid w:val="0"/>
        <w:spacing w:line="700" w:lineRule="exact"/>
        <w:ind w:left="0"/>
        <w:jc w:val="center"/>
        <w:rPr>
          <w:rFonts w:hint="eastAsia" w:ascii="楷体" w:eastAsia="楷体" w:cs="黑体"/>
          <w:color w:val="000000"/>
          <w:sz w:val="32"/>
          <w:szCs w:val="32"/>
          <w:lang w:bidi="ar-SA"/>
        </w:rPr>
      </w:pPr>
    </w:p>
    <w:p>
      <w:pPr>
        <w:adjustRightInd w:val="0"/>
        <w:snapToGrid w:val="0"/>
        <w:spacing w:line="700" w:lineRule="exact"/>
        <w:ind w:left="0"/>
        <w:jc w:val="center"/>
        <w:rPr>
          <w:rFonts w:hint="eastAsia" w:ascii="楷体" w:eastAsia="楷体" w:cs="黑体"/>
          <w:color w:val="000000"/>
          <w:sz w:val="32"/>
          <w:szCs w:val="32"/>
          <w:lang w:bidi="ar-SA"/>
        </w:rPr>
      </w:pPr>
      <w:r>
        <w:rPr>
          <w:rFonts w:hint="eastAsia" w:ascii="楷体" w:eastAsia="楷体" w:cs="黑体"/>
          <w:color w:val="000000"/>
          <w:sz w:val="32"/>
          <w:szCs w:val="32"/>
          <w:lang w:bidi="ar-SA"/>
        </w:rPr>
        <w:t>省生态环境厅副厅长  闫子江</w:t>
      </w:r>
    </w:p>
    <w:p>
      <w:pPr>
        <w:adjustRightInd w:val="0"/>
        <w:snapToGrid w:val="0"/>
        <w:spacing w:line="700" w:lineRule="exact"/>
        <w:ind w:left="0"/>
        <w:jc w:val="center"/>
        <w:rPr>
          <w:rFonts w:hint="eastAsia" w:ascii="仿宋" w:hAnsi="仿宋" w:eastAsia="仿宋" w:cs="仿宋"/>
          <w:color w:val="000000"/>
          <w:sz w:val="32"/>
          <w:szCs w:val="32"/>
          <w:lang w:bidi="ar-SA"/>
        </w:rPr>
      </w:pPr>
    </w:p>
    <w:p>
      <w:pPr>
        <w:rPr>
          <w:rFonts w:hint="eastAsia" w:ascii="仿宋" w:hAnsi="仿宋" w:eastAsia="仿宋" w:cs="仿宋"/>
          <w:color w:val="000000"/>
          <w:kern w:val="0"/>
          <w:sz w:val="32"/>
          <w:szCs w:val="32"/>
          <w:lang w:bidi="ar-SA"/>
        </w:rPr>
      </w:pPr>
      <w:r>
        <w:rPr>
          <w:rFonts w:hint="eastAsia" w:ascii="仿宋" w:hAnsi="仿宋" w:eastAsia="仿宋" w:cs="仿宋"/>
          <w:color w:val="000000"/>
          <w:kern w:val="0"/>
          <w:sz w:val="32"/>
          <w:szCs w:val="32"/>
          <w:lang w:bidi="ar-SA"/>
        </w:rPr>
        <w:t>主任、各位副主任、秘书长、各位委员：</w:t>
      </w:r>
    </w:p>
    <w:p>
      <w:pPr>
        <w:ind w:left="54" w:firstLine="880" w:firstLineChars="200"/>
        <w:rPr>
          <w:rFonts w:hint="eastAsia" w:ascii="仿宋" w:hAnsi="仿宋" w:eastAsia="仿宋" w:cs="仿宋"/>
          <w:color w:val="000000"/>
          <w:kern w:val="0"/>
          <w:sz w:val="32"/>
          <w:szCs w:val="32"/>
          <w:lang w:bidi="ar-SA"/>
        </w:rPr>
      </w:pPr>
      <w:r>
        <w:rPr>
          <w:rFonts w:hint="eastAsia" w:ascii="仿宋" w:hAnsi="仿宋" w:eastAsia="仿宋" w:cs="仿宋"/>
          <w:color w:val="000000"/>
          <w:kern w:val="0"/>
          <w:sz w:val="32"/>
          <w:szCs w:val="32"/>
          <w:lang w:bidi="ar-SA"/>
        </w:rPr>
        <w:t>我受省人民政府委托，</w:t>
      </w:r>
      <w:r>
        <w:rPr>
          <w:rFonts w:hint="eastAsia" w:ascii="仿宋" w:hAnsi="仿宋" w:eastAsia="仿宋" w:cs="仿宋"/>
          <w:sz w:val="32"/>
          <w:szCs w:val="32"/>
          <w:lang w:bidi="ar-SA"/>
        </w:rPr>
        <w:t>现</w:t>
      </w:r>
      <w:r>
        <w:rPr>
          <w:rFonts w:hint="eastAsia" w:ascii="仿宋" w:hAnsi="仿宋" w:eastAsia="仿宋" w:cs="仿宋"/>
          <w:sz w:val="32"/>
          <w:szCs w:val="32"/>
          <w:lang w:eastAsia="zh-CN" w:bidi="ar-SA"/>
        </w:rPr>
        <w:t>就</w:t>
      </w:r>
      <w:r>
        <w:rPr>
          <w:rFonts w:hint="eastAsia" w:ascii="仿宋" w:hAnsi="仿宋" w:eastAsia="仿宋" w:cs="仿宋"/>
          <w:sz w:val="32"/>
          <w:szCs w:val="32"/>
          <w:lang w:bidi="ar-SA"/>
        </w:rPr>
        <w:t>《甘肃省辐射污染防治条例（修订草案）》</w:t>
      </w:r>
      <w:r>
        <w:rPr>
          <w:rFonts w:hint="eastAsia" w:ascii="仿宋" w:hAnsi="仿宋" w:eastAsia="仿宋" w:cs="仿宋"/>
          <w:sz w:val="32"/>
          <w:szCs w:val="32"/>
          <w:lang w:eastAsia="zh-CN" w:bidi="ar-SA"/>
        </w:rPr>
        <w:t>（以下简称“修订草案”）</w:t>
      </w:r>
      <w:r>
        <w:rPr>
          <w:rFonts w:hint="eastAsia" w:ascii="仿宋" w:hAnsi="仿宋" w:eastAsia="仿宋" w:cs="仿宋"/>
          <w:color w:val="000000"/>
          <w:kern w:val="0"/>
          <w:sz w:val="32"/>
          <w:szCs w:val="32"/>
          <w:lang w:bidi="ar-SA"/>
        </w:rPr>
        <w:t>作如下说明：</w:t>
      </w:r>
    </w:p>
    <w:p>
      <w:pPr>
        <w:ind w:left="54" w:firstLine="88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一、修订的必要性</w:t>
      </w:r>
    </w:p>
    <w:p>
      <w:pPr>
        <w:ind w:firstLine="880" w:firstLineChars="200"/>
        <w:rPr>
          <w:rFonts w:hint="eastAsia" w:ascii="仿宋" w:hAnsi="仿宋" w:eastAsia="仿宋" w:cs="仿宋"/>
          <w:color w:val="000000"/>
          <w:kern w:val="0"/>
          <w:sz w:val="32"/>
          <w:szCs w:val="32"/>
          <w:lang w:bidi="ar-SA"/>
        </w:rPr>
      </w:pPr>
      <w:r>
        <w:rPr>
          <w:rFonts w:hint="eastAsia" w:ascii="仿宋" w:hAnsi="仿宋" w:eastAsia="仿宋" w:cs="仿宋"/>
          <w:color w:val="000000"/>
          <w:kern w:val="0"/>
          <w:sz w:val="32"/>
          <w:szCs w:val="32"/>
          <w:lang w:bidi="ar-SA"/>
        </w:rPr>
        <w:t>《</w:t>
      </w:r>
      <w:r>
        <w:rPr>
          <w:rFonts w:hint="eastAsia" w:ascii="仿宋" w:hAnsi="仿宋" w:eastAsia="仿宋" w:cs="仿宋"/>
          <w:color w:val="000000"/>
          <w:kern w:val="0"/>
          <w:sz w:val="32"/>
          <w:szCs w:val="32"/>
          <w:lang w:val="en-US" w:eastAsia="zh-CN" w:bidi="ar-SA"/>
        </w:rPr>
        <w:t>甘肃省辐射污染防治条例</w:t>
      </w:r>
      <w:r>
        <w:rPr>
          <w:rFonts w:hint="eastAsia" w:ascii="仿宋" w:hAnsi="仿宋" w:eastAsia="仿宋" w:cs="仿宋"/>
          <w:color w:val="000000"/>
          <w:kern w:val="0"/>
          <w:sz w:val="32"/>
          <w:szCs w:val="32"/>
          <w:lang w:bidi="ar-SA"/>
        </w:rPr>
        <w:t>》</w:t>
      </w:r>
      <w:r>
        <w:rPr>
          <w:rFonts w:hint="eastAsia" w:ascii="仿宋" w:hAnsi="仿宋" w:eastAsia="仿宋" w:cs="仿宋"/>
          <w:color w:val="000000"/>
          <w:kern w:val="0"/>
          <w:sz w:val="32"/>
          <w:szCs w:val="32"/>
          <w:lang w:eastAsia="zh-CN" w:bidi="ar-SA"/>
        </w:rPr>
        <w:t>（</w:t>
      </w:r>
      <w:r>
        <w:rPr>
          <w:rFonts w:hint="eastAsia" w:ascii="仿宋" w:hAnsi="仿宋" w:eastAsia="仿宋" w:cs="仿宋"/>
          <w:color w:val="000000"/>
          <w:kern w:val="0"/>
          <w:sz w:val="32"/>
          <w:szCs w:val="32"/>
          <w:lang w:val="en-US" w:eastAsia="zh-CN" w:bidi="ar-SA"/>
        </w:rPr>
        <w:t>以下简称《条例》</w:t>
      </w:r>
      <w:r>
        <w:rPr>
          <w:rFonts w:hint="eastAsia" w:ascii="仿宋" w:hAnsi="仿宋" w:eastAsia="仿宋" w:cs="仿宋"/>
          <w:color w:val="000000"/>
          <w:kern w:val="0"/>
          <w:sz w:val="32"/>
          <w:szCs w:val="32"/>
          <w:lang w:eastAsia="zh-CN" w:bidi="ar-SA"/>
        </w:rPr>
        <w:t>）</w:t>
      </w:r>
      <w:r>
        <w:rPr>
          <w:rFonts w:hint="eastAsia" w:ascii="仿宋" w:hAnsi="仿宋" w:eastAsia="仿宋" w:cs="仿宋"/>
          <w:color w:val="000000"/>
          <w:kern w:val="0"/>
          <w:sz w:val="32"/>
          <w:szCs w:val="32"/>
          <w:lang w:bidi="ar-SA"/>
        </w:rPr>
        <w:t>于2014年11月28日经甘肃省第十二届人民代表大会常务委员会第十二次会议通过，自2015年1月1日起施行。自施行以来，《条例》在电离辐射及电磁辐射污染防治、乏燃料和放射性废物处理处置及监督管理等方面均发挥了重要的作用。近年来，《中华人民共和国环境影响评价法》《建设项目环境保护管理条例》《放射性物品运输安全管理条例》《建设项目竣工环境保护验收暂行办法》等上位</w:t>
      </w:r>
      <w:r>
        <w:rPr>
          <w:rFonts w:hint="eastAsia" w:ascii="仿宋" w:hAnsi="仿宋" w:eastAsia="仿宋" w:cs="仿宋"/>
          <w:color w:val="000000"/>
          <w:kern w:val="0"/>
          <w:sz w:val="32"/>
          <w:szCs w:val="32"/>
          <w:lang w:eastAsia="zh-CN" w:bidi="ar-SA"/>
        </w:rPr>
        <w:t>法律法规及相关规范性文件提出新的要求</w:t>
      </w:r>
      <w:r>
        <w:rPr>
          <w:rFonts w:hint="eastAsia" w:ascii="仿宋" w:hAnsi="仿宋" w:eastAsia="仿宋" w:cs="仿宋"/>
          <w:color w:val="000000"/>
          <w:kern w:val="0"/>
          <w:sz w:val="32"/>
          <w:szCs w:val="32"/>
          <w:lang w:bidi="ar-SA"/>
        </w:rPr>
        <w:t>，一些制度规定发生了重大变化。同时，国家机构改革后，相关部门和单位职能职责、名称发生了变化，需要修订《条例》。</w:t>
      </w:r>
    </w:p>
    <w:p>
      <w:pPr>
        <w:ind w:firstLine="880" w:firstLineChars="200"/>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val="en-US" w:eastAsia="zh-CN" w:bidi="ar-SA"/>
        </w:rPr>
        <w:t>二</w:t>
      </w:r>
      <w:r>
        <w:rPr>
          <w:rFonts w:hint="eastAsia" w:ascii="黑体" w:hAnsi="黑体" w:eastAsia="黑体" w:cs="黑体"/>
          <w:color w:val="000000"/>
          <w:kern w:val="0"/>
          <w:sz w:val="32"/>
          <w:szCs w:val="32"/>
          <w:lang w:bidi="ar-SA"/>
        </w:rPr>
        <w:t>、修订的过程</w:t>
      </w:r>
    </w:p>
    <w:p>
      <w:pPr>
        <w:tabs>
          <w:tab w:val="center" w:pos="4363"/>
        </w:tabs>
        <w:ind w:firstLine="880" w:firstLineChars="200"/>
        <w:rPr>
          <w:rFonts w:hint="eastAsia" w:ascii="仿宋" w:hAnsi="仿宋" w:eastAsia="仿宋" w:cs="仿宋"/>
          <w:color w:val="000000"/>
          <w:kern w:val="0"/>
          <w:sz w:val="32"/>
          <w:szCs w:val="32"/>
          <w:lang w:eastAsia="zh-CN" w:bidi="ar-SA"/>
        </w:rPr>
      </w:pPr>
      <w:r>
        <w:rPr>
          <w:rFonts w:hint="eastAsia" w:ascii="仿宋" w:hAnsi="仿宋" w:eastAsia="仿宋" w:cs="仿宋"/>
          <w:sz w:val="32"/>
          <w:szCs w:val="32"/>
          <w:lang w:bidi="ar"/>
        </w:rPr>
        <w:t>按照省人大</w:t>
      </w:r>
      <w:r>
        <w:rPr>
          <w:rFonts w:hint="eastAsia" w:ascii="仿宋" w:hAnsi="仿宋" w:eastAsia="仿宋" w:cs="仿宋"/>
          <w:sz w:val="32"/>
          <w:szCs w:val="32"/>
          <w:lang w:eastAsia="zh-CN" w:bidi="ar"/>
        </w:rPr>
        <w:t>常委会</w:t>
      </w:r>
      <w:r>
        <w:rPr>
          <w:rFonts w:hint="eastAsia" w:ascii="仿宋" w:hAnsi="仿宋" w:eastAsia="仿宋" w:cs="仿宋"/>
          <w:sz w:val="32"/>
          <w:szCs w:val="32"/>
          <w:lang w:bidi="ar"/>
        </w:rPr>
        <w:t>立法计划安排，省生态环境厅及时启动了《条例》</w:t>
      </w:r>
      <w:r>
        <w:rPr>
          <w:rFonts w:hint="eastAsia" w:ascii="仿宋" w:hAnsi="仿宋" w:eastAsia="仿宋" w:cs="仿宋"/>
          <w:sz w:val="32"/>
          <w:szCs w:val="32"/>
          <w:lang w:val="en-US" w:eastAsia="zh-CN" w:bidi="ar"/>
        </w:rPr>
        <w:t>的</w:t>
      </w:r>
      <w:r>
        <w:rPr>
          <w:rFonts w:hint="eastAsia" w:ascii="仿宋" w:hAnsi="仿宋" w:eastAsia="仿宋" w:cs="仿宋"/>
          <w:sz w:val="32"/>
          <w:szCs w:val="32"/>
          <w:lang w:bidi="ar"/>
        </w:rPr>
        <w:t>修订工作，成立了工作专班，与省内高校合作，及时跟进生态环境保护领域改革动向，参照其他省份立法动态，结合我省生态环境保护工作实际，研究起草</w:t>
      </w:r>
      <w:r>
        <w:rPr>
          <w:rFonts w:hint="eastAsia" w:ascii="仿宋" w:hAnsi="仿宋" w:eastAsia="仿宋" w:cs="仿宋"/>
          <w:sz w:val="32"/>
          <w:szCs w:val="32"/>
          <w:lang w:val="en-US" w:eastAsia="zh-CN" w:bidi="ar"/>
        </w:rPr>
        <w:t>形成</w:t>
      </w:r>
      <w:r>
        <w:rPr>
          <w:rFonts w:hint="eastAsia" w:ascii="仿宋" w:hAnsi="仿宋" w:eastAsia="仿宋" w:cs="仿宋"/>
          <w:sz w:val="32"/>
          <w:szCs w:val="32"/>
          <w:lang w:bidi="ar"/>
        </w:rPr>
        <w:t>了</w:t>
      </w:r>
      <w:r>
        <w:rPr>
          <w:rFonts w:hint="eastAsia" w:ascii="仿宋" w:hAnsi="仿宋" w:eastAsia="仿宋" w:cs="仿宋"/>
          <w:sz w:val="32"/>
          <w:szCs w:val="32"/>
          <w:lang w:val="en-US" w:eastAsia="zh-CN" w:bidi="ar"/>
        </w:rPr>
        <w:t>修订</w:t>
      </w:r>
      <w:r>
        <w:rPr>
          <w:rFonts w:hint="eastAsia" w:ascii="仿宋" w:hAnsi="仿宋" w:eastAsia="仿宋" w:cs="仿宋"/>
          <w:sz w:val="32"/>
          <w:szCs w:val="32"/>
          <w:lang w:bidi="ar"/>
        </w:rPr>
        <w:t>草案初稿</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先后征求了省直相关部门、市（州）政府、生态环境系统以及相关企业意见，组织专家进行了论证</w:t>
      </w:r>
      <w:r>
        <w:rPr>
          <w:rFonts w:hint="eastAsia" w:ascii="仿宋" w:hAnsi="仿宋" w:eastAsia="仿宋" w:cs="仿宋"/>
          <w:sz w:val="32"/>
          <w:szCs w:val="32"/>
          <w:lang w:eastAsia="zh-CN" w:bidi="ar"/>
        </w:rPr>
        <w:t>，</w:t>
      </w:r>
      <w:r>
        <w:rPr>
          <w:rFonts w:hint="eastAsia" w:ascii="仿宋" w:hAnsi="仿宋" w:eastAsia="仿宋" w:cs="仿宋"/>
          <w:sz w:val="32"/>
          <w:szCs w:val="32"/>
          <w:lang w:val="en-US" w:eastAsia="zh-CN" w:bidi="ar"/>
        </w:rPr>
        <w:t>经</w:t>
      </w:r>
      <w:r>
        <w:rPr>
          <w:rFonts w:hint="eastAsia" w:ascii="仿宋" w:hAnsi="仿宋" w:eastAsia="仿宋" w:cs="仿宋"/>
          <w:sz w:val="32"/>
          <w:szCs w:val="32"/>
          <w:lang w:bidi="ar"/>
        </w:rPr>
        <w:t>多次修改完善。</w:t>
      </w:r>
      <w:r>
        <w:rPr>
          <w:rFonts w:hint="eastAsia" w:ascii="仿宋" w:hAnsi="仿宋" w:eastAsia="仿宋" w:cs="仿宋"/>
          <w:sz w:val="32"/>
          <w:szCs w:val="32"/>
          <w:lang w:eastAsia="zh-CN" w:bidi="ar-SA"/>
        </w:rPr>
        <w:t>9月初，省</w:t>
      </w:r>
      <w:r>
        <w:rPr>
          <w:rFonts w:hint="eastAsia" w:ascii="仿宋" w:hAnsi="仿宋" w:eastAsia="仿宋" w:cs="仿宋"/>
          <w:sz w:val="32"/>
          <w:szCs w:val="32"/>
          <w:lang w:val="en-US" w:eastAsia="zh-CN" w:bidi="ar-SA"/>
        </w:rPr>
        <w:t>司法厅邀请部分省政府外聘法律顾问召开论证会，根据专家意见</w:t>
      </w:r>
      <w:r>
        <w:rPr>
          <w:rFonts w:hint="eastAsia" w:ascii="仿宋" w:hAnsi="仿宋" w:eastAsia="仿宋" w:cs="仿宋"/>
          <w:sz w:val="32"/>
          <w:szCs w:val="32"/>
          <w:lang w:bidi="ar-SA"/>
        </w:rPr>
        <w:t>对条例草案多次修改完善后，经2020年9月14日十三届省政府第103次常务会议讨论通过，</w:t>
      </w:r>
      <w:r>
        <w:rPr>
          <w:rFonts w:hint="eastAsia" w:ascii="仿宋" w:hAnsi="仿宋" w:eastAsia="仿宋" w:cs="仿宋"/>
          <w:color w:val="000000"/>
          <w:kern w:val="0"/>
          <w:sz w:val="32"/>
          <w:szCs w:val="32"/>
          <w:lang w:val="en-US" w:eastAsia="zh-CN" w:bidi="ar-SA"/>
        </w:rPr>
        <w:t>形成了目前的</w:t>
      </w:r>
      <w:r>
        <w:rPr>
          <w:rFonts w:hint="eastAsia" w:ascii="仿宋" w:hAnsi="仿宋" w:eastAsia="仿宋" w:cs="仿宋"/>
          <w:sz w:val="32"/>
          <w:szCs w:val="32"/>
          <w:lang w:val="en-US" w:eastAsia="zh-CN" w:bidi="ar-SA"/>
        </w:rPr>
        <w:t>修订草案</w:t>
      </w:r>
      <w:r>
        <w:rPr>
          <w:rFonts w:hint="eastAsia" w:ascii="仿宋" w:hAnsi="仿宋" w:eastAsia="仿宋" w:cs="仿宋"/>
          <w:color w:val="000000"/>
          <w:kern w:val="0"/>
          <w:sz w:val="32"/>
          <w:szCs w:val="32"/>
          <w:lang w:eastAsia="zh-CN" w:bidi="ar-SA"/>
        </w:rPr>
        <w:t>。</w:t>
      </w:r>
    </w:p>
    <w:p>
      <w:pPr>
        <w:tabs>
          <w:tab w:val="center" w:pos="4363"/>
        </w:tabs>
        <w:ind w:firstLine="88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三、修订的主要内容</w:t>
      </w:r>
    </w:p>
    <w:p>
      <w:pPr>
        <w:tabs>
          <w:tab w:val="center" w:pos="4363"/>
        </w:tabs>
        <w:ind w:firstLine="880" w:firstLineChars="200"/>
        <w:rPr>
          <w:rFonts w:hint="eastAsia" w:ascii="仿宋" w:hAnsi="仿宋" w:eastAsia="仿宋" w:cs="仿宋"/>
          <w:sz w:val="32"/>
          <w:szCs w:val="32"/>
          <w:lang w:bidi="ar"/>
        </w:rPr>
      </w:pPr>
      <w:r>
        <w:rPr>
          <w:rFonts w:hint="eastAsia" w:ascii="仿宋" w:hAnsi="仿宋" w:eastAsia="仿宋" w:cs="仿宋"/>
          <w:sz w:val="32"/>
          <w:szCs w:val="32"/>
          <w:lang w:val="en-US" w:eastAsia="en-US" w:bidi="ar"/>
        </w:rPr>
        <w:t>现行《条例》</w:t>
      </w:r>
      <w:r>
        <w:rPr>
          <w:rFonts w:hint="eastAsia" w:ascii="仿宋" w:hAnsi="仿宋" w:eastAsia="仿宋" w:cs="仿宋"/>
          <w:sz w:val="32"/>
          <w:szCs w:val="32"/>
          <w:lang w:bidi="ar"/>
        </w:rPr>
        <w:t>共45条。此次修订，保留并修改完善35条，合并2条，删除8条，新增6条，修订后共42条。主要作了以下几个方面的修改：</w:t>
      </w:r>
    </w:p>
    <w:p>
      <w:pPr>
        <w:tabs>
          <w:tab w:val="center" w:pos="4363"/>
        </w:tabs>
        <w:ind w:firstLine="880" w:firstLineChars="200"/>
        <w:rPr>
          <w:rFonts w:hint="eastAsia" w:ascii="仿宋" w:hAnsi="仿宋" w:eastAsia="仿宋" w:cs="仿宋"/>
          <w:sz w:val="32"/>
          <w:szCs w:val="32"/>
          <w:lang w:bidi="ar"/>
        </w:rPr>
      </w:pPr>
      <w:r>
        <w:rPr>
          <w:rFonts w:hint="eastAsia" w:ascii="楷体_GB2312" w:hAnsi="楷体_GB2312" w:eastAsia="楷体_GB2312" w:cs="楷体_GB2312"/>
          <w:b w:val="0"/>
          <w:bCs w:val="0"/>
          <w:sz w:val="32"/>
          <w:szCs w:val="32"/>
          <w:lang w:bidi="ar"/>
        </w:rPr>
        <w:t>（一）完善辐射污染防治监督管理体制。</w:t>
      </w:r>
      <w:r>
        <w:rPr>
          <w:rFonts w:hint="eastAsia" w:ascii="仿宋" w:hAnsi="仿宋" w:eastAsia="仿宋" w:cs="仿宋"/>
          <w:sz w:val="32"/>
          <w:szCs w:val="32"/>
          <w:lang w:bidi="ar"/>
        </w:rPr>
        <w:t>依据国家机构改革后涉及部门和单位的职能职责，将《条例》中的“环境保护行政主管部门”统一修改为“生态环境主管部门”。结合我省生态环境机构监测监察执法垂直管理制度改革，将监管主体细分为省级生态环境主管部门、市(州)生态环境主管部门及其派出机构以及县级以上人民政府其他有关部门，明确了各自监管职责。</w:t>
      </w:r>
    </w:p>
    <w:p>
      <w:pPr>
        <w:tabs>
          <w:tab w:val="center" w:pos="4363"/>
        </w:tabs>
        <w:ind w:firstLine="880" w:firstLineChars="200"/>
        <w:rPr>
          <w:rFonts w:hint="eastAsia" w:ascii="仿宋" w:hAnsi="仿宋" w:eastAsia="仿宋" w:cs="仿宋"/>
          <w:sz w:val="32"/>
          <w:szCs w:val="32"/>
          <w:lang w:bidi="ar"/>
        </w:rPr>
      </w:pPr>
      <w:r>
        <w:rPr>
          <w:rFonts w:hint="eastAsia" w:ascii="楷体_GB2312" w:hAnsi="楷体_GB2312" w:eastAsia="楷体_GB2312" w:cs="楷体_GB2312"/>
          <w:b w:val="0"/>
          <w:bCs w:val="0"/>
          <w:sz w:val="32"/>
          <w:szCs w:val="32"/>
          <w:lang w:bidi="ar"/>
        </w:rPr>
        <w:t>（二）严格与上位法保持一致。</w:t>
      </w:r>
      <w:r>
        <w:rPr>
          <w:rFonts w:hint="eastAsia" w:ascii="仿宋" w:hAnsi="仿宋" w:eastAsia="仿宋" w:cs="仿宋"/>
          <w:sz w:val="32"/>
          <w:szCs w:val="32"/>
          <w:lang w:bidi="ar"/>
        </w:rPr>
        <w:t>根据《建设项目环境保护管理条例》第十七条的规定，将辐射污染防治设施的验收由生态环境部门修改为建设单位自行验收。依据《环境影响评价法》相关规定，结合“放管服”改革要求，取消了辐射污染防治建设项目环评报告书（表）的预审，对涉及条款进行了删除。</w:t>
      </w:r>
    </w:p>
    <w:p>
      <w:pPr>
        <w:tabs>
          <w:tab w:val="center" w:pos="4363"/>
        </w:tabs>
        <w:ind w:firstLine="880" w:firstLineChars="200"/>
        <w:rPr>
          <w:rFonts w:hint="eastAsia" w:ascii="仿宋" w:hAnsi="仿宋" w:eastAsia="仿宋" w:cs="仿宋"/>
          <w:sz w:val="32"/>
          <w:szCs w:val="32"/>
          <w:lang w:bidi="ar"/>
        </w:rPr>
      </w:pPr>
      <w:r>
        <w:rPr>
          <w:rFonts w:hint="eastAsia" w:ascii="楷体_GB2312" w:hAnsi="楷体_GB2312" w:eastAsia="楷体_GB2312" w:cs="楷体_GB2312"/>
          <w:b w:val="0"/>
          <w:bCs w:val="0"/>
          <w:sz w:val="32"/>
          <w:szCs w:val="32"/>
          <w:lang w:bidi="ar"/>
        </w:rPr>
        <w:t>（三）完善生态保护补偿制度。</w:t>
      </w:r>
      <w:r>
        <w:rPr>
          <w:rFonts w:hint="eastAsia" w:ascii="仿宋" w:hAnsi="仿宋" w:eastAsia="仿宋" w:cs="仿宋"/>
          <w:sz w:val="32"/>
          <w:szCs w:val="32"/>
          <w:lang w:bidi="ar"/>
        </w:rPr>
        <w:t>合并《条例》第二十六和第二十七条，并进行了修改完善；对《条例》第二十四条进行了删除；将《条例》第二十五条进行了相应的调整。</w:t>
      </w:r>
    </w:p>
    <w:p>
      <w:pPr>
        <w:tabs>
          <w:tab w:val="center" w:pos="4363"/>
        </w:tabs>
        <w:ind w:firstLine="880" w:firstLineChars="200"/>
        <w:rPr>
          <w:rFonts w:hint="eastAsia" w:ascii="仿宋" w:hAnsi="仿宋" w:eastAsia="仿宋" w:cs="仿宋"/>
          <w:sz w:val="32"/>
          <w:szCs w:val="32"/>
          <w:lang w:bidi="ar"/>
        </w:rPr>
      </w:pPr>
      <w:r>
        <w:rPr>
          <w:rFonts w:hint="eastAsia" w:ascii="楷体_GB2312" w:hAnsi="楷体_GB2312" w:eastAsia="楷体_GB2312" w:cs="楷体_GB2312"/>
          <w:b w:val="0"/>
          <w:bCs w:val="0"/>
          <w:sz w:val="32"/>
          <w:szCs w:val="32"/>
          <w:lang w:bidi="ar"/>
        </w:rPr>
        <w:t>（四）完善相关法律责任。</w:t>
      </w:r>
      <w:r>
        <w:rPr>
          <w:rFonts w:hint="eastAsia" w:ascii="仿宋" w:hAnsi="仿宋" w:eastAsia="仿宋" w:cs="仿宋"/>
          <w:sz w:val="32"/>
          <w:szCs w:val="32"/>
          <w:lang w:bidi="ar"/>
        </w:rPr>
        <w:t>对照上位法，对禁止性规定进行了全面梳理，补充完善相关法律责任。在《条例》第三十五条中增设了相关违法情形及其应当承担的法律责任；对《条例》第三十六条中生产、销售、使用放射性同位素和射线装置的单位未履行《条例（修订草案）》第十二条有关规定的法律责任内容进行了修改完善。</w:t>
      </w:r>
    </w:p>
    <w:p>
      <w:pPr>
        <w:tabs>
          <w:tab w:val="center" w:pos="4363"/>
        </w:tabs>
        <w:ind w:firstLine="880" w:firstLineChars="200"/>
        <w:rPr>
          <w:rFonts w:hint="eastAsia" w:ascii="仿宋" w:hAnsi="仿宋" w:eastAsia="仿宋" w:cs="仿宋"/>
          <w:sz w:val="32"/>
          <w:szCs w:val="32"/>
          <w:lang w:bidi="ar"/>
        </w:rPr>
      </w:pPr>
      <w:r>
        <w:rPr>
          <w:rFonts w:hint="eastAsia" w:ascii="楷体_GB2312" w:hAnsi="楷体_GB2312" w:eastAsia="楷体_GB2312" w:cs="楷体_GB2312"/>
          <w:b w:val="0"/>
          <w:bCs w:val="0"/>
          <w:sz w:val="32"/>
          <w:szCs w:val="32"/>
          <w:lang w:bidi="ar"/>
        </w:rPr>
        <w:t>（五）规范表述草案文本。</w:t>
      </w:r>
      <w:r>
        <w:rPr>
          <w:rFonts w:hint="eastAsia" w:ascii="仿宋" w:hAnsi="仿宋" w:eastAsia="仿宋" w:cs="仿宋"/>
          <w:sz w:val="32"/>
          <w:szCs w:val="32"/>
          <w:lang w:bidi="ar"/>
        </w:rPr>
        <w:t>优化了</w:t>
      </w:r>
      <w:r>
        <w:rPr>
          <w:rFonts w:hint="eastAsia" w:ascii="仿宋" w:hAnsi="仿宋" w:eastAsia="仿宋" w:cs="仿宋"/>
          <w:sz w:val="32"/>
          <w:szCs w:val="32"/>
          <w:lang w:eastAsia="zh-CN" w:bidi="ar"/>
        </w:rPr>
        <w:t>修订</w:t>
      </w:r>
      <w:r>
        <w:rPr>
          <w:rFonts w:hint="eastAsia" w:ascii="仿宋" w:hAnsi="仿宋" w:eastAsia="仿宋" w:cs="仿宋"/>
          <w:sz w:val="32"/>
          <w:szCs w:val="32"/>
          <w:lang w:bidi="ar"/>
        </w:rPr>
        <w:t>草案文本的体例结构，直接采用条文式，不再分章节表述。坚持前后相统一的原则，对《条例》涉及的35条内容进行了修改完善和规范表述，保持了草案文本前后的一致性，提高了修订草案的可操作性。</w:t>
      </w:r>
    </w:p>
    <w:p>
      <w:pPr>
        <w:adjustRightInd w:val="0"/>
        <w:snapToGrid w:val="0"/>
        <w:ind w:left="0" w:firstLine="880" w:firstLineChars="200"/>
        <w:rPr>
          <w:rFonts w:hint="eastAsia" w:ascii="仿宋" w:hAnsi="仿宋" w:eastAsia="仿宋" w:cs="仿宋"/>
          <w:sz w:val="32"/>
          <w:szCs w:val="32"/>
        </w:rPr>
      </w:pPr>
      <w:r>
        <w:rPr>
          <w:rFonts w:hint="eastAsia" w:ascii="仿宋" w:hAnsi="仿宋" w:eastAsia="仿宋" w:cs="仿宋"/>
          <w:color w:val="000000"/>
          <w:kern w:val="0"/>
          <w:sz w:val="32"/>
          <w:szCs w:val="32"/>
          <w:lang w:val="zh-TW" w:eastAsia="zh-CN" w:bidi="ar-SA"/>
        </w:rPr>
        <w:t>以上说明及</w:t>
      </w:r>
      <w:r>
        <w:rPr>
          <w:rFonts w:hint="eastAsia" w:ascii="仿宋" w:hAnsi="仿宋" w:eastAsia="仿宋" w:cs="仿宋"/>
          <w:sz w:val="32"/>
          <w:szCs w:val="32"/>
          <w:lang w:val="en-US" w:eastAsia="zh-CN" w:bidi="ar-SA"/>
        </w:rPr>
        <w:t>修订草案</w:t>
      </w:r>
      <w:r>
        <w:rPr>
          <w:rFonts w:hint="eastAsia" w:ascii="仿宋" w:hAnsi="仿宋" w:eastAsia="仿宋" w:cs="仿宋"/>
          <w:color w:val="000000"/>
          <w:kern w:val="0"/>
          <w:sz w:val="32"/>
          <w:szCs w:val="32"/>
          <w:lang w:val="zh-TW" w:eastAsia="zh-CN" w:bidi="ar-SA"/>
        </w:rPr>
        <w:t>，请审议。</w:t>
      </w:r>
    </w:p>
    <w:p>
      <w:pPr>
        <w:rPr>
          <w:rFonts w:hint="eastAsia" w:ascii="仿宋" w:hAnsi="仿宋" w:eastAsia="仿宋" w:cs="仿宋"/>
          <w:sz w:val="32"/>
          <w:szCs w:val="32"/>
          <w:lang w:bidi="ar-SA"/>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decorative"/>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swiss"/>
    <w:pitch w:val="default"/>
    <w:sig w:usb0="800002BF" w:usb1="38CF7CFA" w:usb2="00000016" w:usb3="00000000" w:csb0="00040001" w:csb1="00000000"/>
  </w:font>
  <w:font w:name="DejaVu Sans">
    <w:altName w:val="Traditional Arabic"/>
    <w:panose1 w:val="020206030504050203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楷体">
    <w:panose1 w:val="02010609060101010101"/>
    <w:charset w:val="86"/>
    <w:family w:val="decorative"/>
    <w:pitch w:val="default"/>
    <w:sig w:usb0="800002BF" w:usb1="38CF7CFA" w:usb2="00000016" w:usb3="00000000" w:csb0="00040001"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83F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2020-09-26T02:33:35Z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