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3231822"/>
      </w:sdtPr>
      <w:sdtEndPr>
        <w:rPr>
          <w:rFonts w:ascii="Times New Roman" w:hAnsi="Times New Roman" w:eastAsia="仿宋_GB2312"/>
          <w:b/>
          <w:bCs/>
          <w:kern w:val="0"/>
          <w:sz w:val="32"/>
          <w:szCs w:val="32"/>
        </w:rPr>
      </w:sdtEndPr>
      <w:sdtContent>
        <w:p>
          <w:pPr>
            <w:jc w:val="center"/>
            <w:rPr>
              <w:rFonts w:ascii="黑体" w:hAnsi="黑体" w:eastAsia="黑体"/>
              <w:sz w:val="48"/>
              <w:szCs w:val="48"/>
            </w:rPr>
          </w:pPr>
          <w:bookmarkStart w:id="79" w:name="_GoBack"/>
          <w:bookmarkEnd w:id="79"/>
        </w:p>
        <w:p>
          <w:pPr>
            <w:jc w:val="center"/>
            <w:rPr>
              <w:rFonts w:ascii="黑体" w:hAnsi="黑体" w:eastAsia="黑体"/>
              <w:sz w:val="48"/>
              <w:szCs w:val="48"/>
            </w:rPr>
          </w:pPr>
        </w:p>
        <w:p>
          <w:pPr>
            <w:jc w:val="center"/>
            <w:rPr>
              <w:rFonts w:ascii="黑体" w:hAnsi="黑体" w:eastAsia="黑体"/>
              <w:sz w:val="48"/>
              <w:szCs w:val="48"/>
            </w:rPr>
          </w:pPr>
        </w:p>
        <w:p>
          <w:pPr>
            <w:spacing w:before="240"/>
            <w:jc w:val="center"/>
            <w:rPr>
              <w:rFonts w:ascii="黑体" w:hAnsi="黑体" w:eastAsia="黑体"/>
              <w:b/>
              <w:bCs/>
              <w:sz w:val="48"/>
              <w:szCs w:val="48"/>
              <w:lang w:bidi="en-US"/>
            </w:rPr>
          </w:pPr>
          <w:r>
            <w:rPr>
              <w:rFonts w:hint="eastAsia" w:ascii="黑体" w:hAnsi="黑体" w:eastAsia="黑体"/>
              <w:b/>
              <w:bCs/>
              <w:sz w:val="48"/>
              <w:szCs w:val="48"/>
              <w:lang w:bidi="en-US"/>
            </w:rPr>
            <w:t>甘肃省人民代表大会常务委员会办公厅</w:t>
          </w:r>
        </w:p>
        <w:p>
          <w:pPr>
            <w:jc w:val="center"/>
            <w:rPr>
              <w:rFonts w:ascii="黑体" w:hAnsi="黑体" w:eastAsia="黑体"/>
              <w:b/>
              <w:bCs/>
              <w:sz w:val="44"/>
              <w:szCs w:val="44"/>
            </w:rPr>
          </w:pPr>
          <w:r>
            <w:rPr>
              <w:rFonts w:hint="eastAsia" w:ascii="黑体" w:hAnsi="黑体" w:eastAsia="黑体"/>
              <w:b/>
              <w:bCs/>
              <w:sz w:val="48"/>
              <w:szCs w:val="48"/>
              <w:lang w:bidi="en-US"/>
            </w:rPr>
            <w:t>整体</w:t>
          </w:r>
          <w:r>
            <w:rPr>
              <w:rFonts w:ascii="黑体" w:hAnsi="黑体" w:eastAsia="黑体"/>
              <w:b/>
              <w:bCs/>
              <w:sz w:val="48"/>
              <w:szCs w:val="48"/>
              <w:lang w:bidi="en-US"/>
            </w:rPr>
            <w:t>支出绩效评价</w:t>
          </w:r>
          <w:r>
            <w:rPr>
              <w:rFonts w:hint="eastAsia" w:ascii="黑体" w:hAnsi="黑体" w:eastAsia="黑体"/>
              <w:b/>
              <w:bCs/>
              <w:sz w:val="48"/>
              <w:szCs w:val="48"/>
              <w:lang w:bidi="en-US"/>
            </w:rPr>
            <w:t>报告</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left="1260" w:leftChars="600"/>
            <w:rPr>
              <w:rFonts w:ascii="黑体" w:hAnsi="黑体" w:eastAsia="黑体"/>
              <w:bCs/>
              <w:color w:val="000000"/>
              <w:sz w:val="28"/>
              <w:szCs w:val="28"/>
            </w:rPr>
          </w:pPr>
          <w:r>
            <w:rPr>
              <w:rFonts w:hint="eastAsia" w:ascii="黑体" w:hAnsi="黑体" w:eastAsia="黑体"/>
              <w:bCs/>
              <w:color w:val="000000"/>
              <w:sz w:val="28"/>
              <w:szCs w:val="28"/>
            </w:rPr>
            <w:t>部门</w:t>
          </w:r>
          <w:r>
            <w:rPr>
              <w:rFonts w:ascii="黑体" w:hAnsi="黑体" w:eastAsia="黑体"/>
              <w:bCs/>
              <w:color w:val="000000"/>
              <w:sz w:val="28"/>
              <w:szCs w:val="28"/>
            </w:rPr>
            <w:t>名称：</w:t>
          </w:r>
          <w:r>
            <w:rPr>
              <w:rFonts w:hint="eastAsia" w:ascii="黑体" w:hAnsi="黑体" w:eastAsia="黑体"/>
              <w:bCs/>
              <w:color w:val="000000"/>
              <w:sz w:val="28"/>
              <w:szCs w:val="28"/>
            </w:rPr>
            <w:t>甘肃省人民代表大会常务委员会办公厅</w:t>
          </w:r>
        </w:p>
        <w:p>
          <w:pPr>
            <w:ind w:left="1260" w:leftChars="600"/>
            <w:rPr>
              <w:rFonts w:ascii="黑体" w:hAnsi="黑体" w:eastAsia="黑体"/>
              <w:bCs/>
              <w:color w:val="000000"/>
              <w:sz w:val="28"/>
              <w:szCs w:val="28"/>
            </w:rPr>
          </w:pPr>
          <w:r>
            <w:rPr>
              <w:rFonts w:ascii="黑体" w:hAnsi="黑体" w:eastAsia="黑体"/>
              <w:bCs/>
              <w:color w:val="000000"/>
              <w:sz w:val="28"/>
              <w:szCs w:val="28"/>
            </w:rPr>
            <w:t>委托单位：</w:t>
          </w:r>
          <w:r>
            <w:rPr>
              <w:rFonts w:hint="eastAsia" w:ascii="黑体" w:hAnsi="黑体" w:eastAsia="黑体"/>
              <w:bCs/>
              <w:color w:val="000000"/>
              <w:sz w:val="28"/>
              <w:szCs w:val="28"/>
            </w:rPr>
            <w:t>甘肃省人民代表大会常务委员会办公厅</w:t>
          </w:r>
        </w:p>
        <w:p>
          <w:pPr>
            <w:ind w:left="1260" w:leftChars="600"/>
            <w:rPr>
              <w:rFonts w:ascii="黑体" w:hAnsi="黑体" w:eastAsia="黑体"/>
              <w:bCs/>
              <w:color w:val="000000"/>
              <w:sz w:val="28"/>
              <w:szCs w:val="28"/>
            </w:rPr>
          </w:pPr>
          <w:r>
            <w:rPr>
              <w:rFonts w:ascii="黑体" w:hAnsi="黑体" w:eastAsia="黑体"/>
              <w:bCs/>
              <w:color w:val="000000"/>
              <w:sz w:val="28"/>
              <w:szCs w:val="28"/>
            </w:rPr>
            <w:t>评价机构：</w:t>
          </w:r>
          <w:r>
            <w:rPr>
              <w:rFonts w:hint="eastAsia" w:ascii="黑体" w:hAnsi="黑体" w:eastAsia="黑体"/>
              <w:bCs/>
              <w:color w:val="000000"/>
              <w:sz w:val="28"/>
              <w:szCs w:val="28"/>
            </w:rPr>
            <w:t>甘肃道瑞科技咨询有限公司</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jc w:val="center"/>
            <w:rPr>
              <w:rFonts w:ascii="黑体" w:hAnsi="黑体" w:eastAsia="黑体"/>
              <w:color w:val="000000"/>
              <w:sz w:val="32"/>
              <w:szCs w:val="32"/>
            </w:rPr>
          </w:pPr>
          <w:r>
            <w:rPr>
              <w:rFonts w:hint="eastAsia" w:ascii="黑体" w:hAnsi="黑体" w:eastAsia="黑体"/>
              <w:color w:val="000000"/>
              <w:sz w:val="32"/>
              <w:szCs w:val="32"/>
            </w:rPr>
            <w:t>2021</w:t>
          </w:r>
          <w:r>
            <w:rPr>
              <w:rFonts w:ascii="黑体" w:hAnsi="黑体" w:eastAsia="黑体"/>
              <w:color w:val="000000"/>
              <w:sz w:val="32"/>
              <w:szCs w:val="32"/>
            </w:rPr>
            <w:t>年</w:t>
          </w:r>
          <w:r>
            <w:rPr>
              <w:rFonts w:hint="eastAsia" w:ascii="黑体" w:hAnsi="黑体" w:eastAsia="黑体"/>
              <w:color w:val="000000"/>
              <w:sz w:val="32"/>
              <w:szCs w:val="32"/>
            </w:rPr>
            <w:t>6</w:t>
          </w:r>
          <w:r>
            <w:rPr>
              <w:rFonts w:ascii="黑体" w:hAnsi="黑体" w:eastAsia="黑体"/>
              <w:color w:val="000000"/>
              <w:sz w:val="32"/>
              <w:szCs w:val="32"/>
            </w:rPr>
            <w:t>月</w:t>
          </w:r>
        </w:p>
        <w:p>
          <w:pPr>
            <w:rPr>
              <w:rFonts w:ascii="黑体" w:hAnsi="黑体" w:eastAsia="黑体"/>
              <w:color w:val="000000"/>
              <w:sz w:val="32"/>
              <w:szCs w:val="32"/>
              <w:lang w:val="zh-CN"/>
            </w:rPr>
          </w:pPr>
        </w:p>
        <w:p>
          <w:pPr>
            <w:rPr>
              <w:rFonts w:ascii="黑体" w:hAnsi="黑体" w:eastAsia="黑体"/>
              <w:color w:val="000000"/>
              <w:sz w:val="32"/>
              <w:szCs w:val="32"/>
              <w:lang w:val="zh-CN"/>
            </w:rPr>
            <w:sectPr>
              <w:footerReference r:id="rId3" w:type="default"/>
              <w:footnotePr>
                <w:numRestart w:val="eachPage"/>
              </w:footnotePr>
              <w:pgSz w:w="11906" w:h="16838"/>
              <w:pgMar w:top="1440" w:right="1800" w:bottom="1440" w:left="1800" w:header="851" w:footer="992" w:gutter="0"/>
              <w:pgNumType w:fmt="upperRoman" w:start="1"/>
              <w:cols w:space="720" w:num="1"/>
              <w:docGrid w:type="lines" w:linePitch="312" w:charSpace="0"/>
            </w:sectPr>
          </w:pPr>
        </w:p>
        <w:p>
          <w:pPr>
            <w:widowControl/>
            <w:jc w:val="center"/>
            <w:rPr>
              <w:rFonts w:ascii="Times New Roman" w:hAnsi="Times New Roman" w:eastAsia="仿宋_GB2312"/>
              <w:b/>
              <w:bCs/>
              <w:kern w:val="0"/>
              <w:sz w:val="32"/>
              <w:szCs w:val="32"/>
            </w:rPr>
          </w:pPr>
          <w:r>
            <w:rPr>
              <w:rFonts w:hint="eastAsia" w:ascii="方正小标宋简体" w:hAnsi="方正小标宋简体" w:eastAsia="方正小标宋简体"/>
              <w:kern w:val="0"/>
              <w:sz w:val="44"/>
              <w:szCs w:val="44"/>
            </w:rPr>
            <w:t>目录</w:t>
          </w:r>
        </w:p>
      </w:sdtContent>
    </w:sdt>
    <w:p>
      <w:pPr>
        <w:pStyle w:val="11"/>
        <w:tabs>
          <w:tab w:val="clear" w:pos="840"/>
        </w:tabs>
        <w:rPr>
          <w:rFonts w:asciiTheme="minorHAnsi" w:hAnsiTheme="minorHAnsi" w:eastAsiaTheme="minorEastAsia"/>
          <w:b w:val="0"/>
          <w:bCs w:val="0"/>
          <w:sz w:val="21"/>
          <w:szCs w:val="22"/>
        </w:rPr>
      </w:pPr>
      <w:r>
        <w:rPr>
          <w:rFonts w:ascii="仿宋_GB2312" w:hAnsi="仿宋_GB2312"/>
          <w:b w:val="0"/>
          <w:bCs w:val="0"/>
          <w:sz w:val="44"/>
          <w:szCs w:val="44"/>
        </w:rPr>
        <w:fldChar w:fldCharType="begin"/>
      </w:r>
      <w:r>
        <w:rPr>
          <w:rFonts w:ascii="仿宋_GB2312" w:hAnsi="仿宋_GB2312"/>
          <w:b w:val="0"/>
          <w:bCs w:val="0"/>
          <w:sz w:val="44"/>
          <w:szCs w:val="44"/>
        </w:rPr>
        <w:instrText xml:space="preserve"> TOC \h \z \t "一级标题,1,二级标题,2" </w:instrText>
      </w:r>
      <w:r>
        <w:rPr>
          <w:rFonts w:ascii="仿宋_GB2312" w:hAnsi="仿宋_GB2312"/>
          <w:b w:val="0"/>
          <w:bCs w:val="0"/>
          <w:sz w:val="44"/>
          <w:szCs w:val="44"/>
        </w:rPr>
        <w:fldChar w:fldCharType="separate"/>
      </w:r>
      <w:r>
        <w:fldChar w:fldCharType="begin"/>
      </w:r>
      <w:r>
        <w:instrText xml:space="preserve"> HYPERLINK \l "_Toc76476744" </w:instrText>
      </w:r>
      <w:r>
        <w:fldChar w:fldCharType="separate"/>
      </w:r>
      <w:r>
        <w:rPr>
          <w:rStyle w:val="15"/>
        </w:rPr>
        <w:t>一、部门基本情况</w:t>
      </w:r>
      <w:r>
        <w:tab/>
      </w:r>
      <w:r>
        <w:fldChar w:fldCharType="begin"/>
      </w:r>
      <w:r>
        <w:instrText xml:space="preserve"> PAGEREF _Toc76476744 \h </w:instrText>
      </w:r>
      <w:r>
        <w:fldChar w:fldCharType="separate"/>
      </w:r>
      <w:r>
        <w:t>1</w:t>
      </w:r>
      <w:r>
        <w:fldChar w:fldCharType="end"/>
      </w:r>
      <w: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"_Toc76476745"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（一）</w:t>
      </w:r>
      <w:r>
        <w:rPr>
          <w:rStyle w:val="15"/>
          <w:b w:val="0"/>
          <w:bCs w:val="0"/>
          <w:color w:val="auto"/>
        </w:rPr>
        <w:t>部门概况</w:t>
      </w:r>
      <w:r>
        <w:rPr>
          <w:b w:val="0"/>
          <w:bCs w:val="0"/>
          <w:color w:val="auto"/>
        </w:rPr>
        <w:tab/>
      </w:r>
      <w:r>
        <w:rPr>
          <w:b w:val="0"/>
          <w:bCs w:val="0"/>
          <w:color w:val="auto"/>
        </w:rPr>
        <w:fldChar w:fldCharType="begin"/>
      </w:r>
      <w:r>
        <w:rPr>
          <w:b w:val="0"/>
          <w:bCs w:val="0"/>
          <w:color w:val="auto"/>
        </w:rPr>
        <w:instrText xml:space="preserve"> PAGEREF _Toc76476745 \h </w:instrText>
      </w:r>
      <w:r>
        <w:rPr>
          <w:b w:val="0"/>
          <w:bCs w:val="0"/>
          <w:color w:val="auto"/>
        </w:rPr>
        <w:fldChar w:fldCharType="separate"/>
      </w:r>
      <w:r>
        <w:rPr>
          <w:b w:val="0"/>
          <w:bCs w:val="0"/>
          <w:color w:val="auto"/>
        </w:rPr>
        <w:t>1</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sz w:val="21"/>
        </w:rPr>
      </w:pPr>
      <w:r>
        <w:rPr>
          <w:b w:val="0"/>
          <w:bCs w:val="0"/>
          <w:color w:val="auto"/>
        </w:rPr>
        <w:fldChar w:fldCharType="begin"/>
      </w:r>
      <w:r>
        <w:rPr>
          <w:b w:val="0"/>
          <w:bCs w:val="0"/>
          <w:color w:val="auto"/>
        </w:rPr>
        <w:instrText xml:space="preserve"> HYPERLINK \l "_Toc76476746" </w:instrText>
      </w:r>
      <w:r>
        <w:rPr>
          <w:b w:val="0"/>
          <w:bCs w:val="0"/>
          <w:color w:val="auto"/>
        </w:rPr>
        <w:fldChar w:fldCharType="separate"/>
      </w:r>
      <w:r>
        <w:rPr>
          <w:rStyle w:val="15"/>
          <w:b w:val="0"/>
          <w:bCs w:val="0"/>
          <w:color w:val="auto"/>
          <w:lang w:bidi="zh-CN"/>
          <w14:scene3d>
            <w14:lightRig w14:rig="threePt" w14:dir="t">
              <w14:rot w14:lat="0" w14:lon="0" w14:rev="0"/>
            </w14:lightRig>
          </w14:scene3d>
        </w:rPr>
        <w:t>（二）</w:t>
      </w:r>
      <w:r>
        <w:rPr>
          <w:rStyle w:val="15"/>
          <w:b w:val="0"/>
          <w:bCs w:val="0"/>
          <w:color w:val="auto"/>
        </w:rPr>
        <w:t>部门绩效目标</w:t>
      </w:r>
      <w:r>
        <w:rPr>
          <w:b w:val="0"/>
          <w:bCs w:val="0"/>
          <w:color w:val="auto"/>
        </w:rPr>
        <w:tab/>
      </w:r>
      <w:r>
        <w:rPr>
          <w:b w:val="0"/>
          <w:bCs w:val="0"/>
          <w:color w:val="auto"/>
        </w:rPr>
        <w:fldChar w:fldCharType="begin"/>
      </w:r>
      <w:r>
        <w:rPr>
          <w:b w:val="0"/>
          <w:bCs w:val="0"/>
          <w:color w:val="auto"/>
        </w:rPr>
        <w:instrText xml:space="preserve"> PAGEREF _Toc76476746 \h </w:instrText>
      </w:r>
      <w:r>
        <w:rPr>
          <w:b w:val="0"/>
          <w:bCs w:val="0"/>
          <w:color w:val="auto"/>
        </w:rPr>
        <w:fldChar w:fldCharType="separate"/>
      </w:r>
      <w:r>
        <w:rPr>
          <w:b w:val="0"/>
          <w:bCs w:val="0"/>
          <w:color w:val="auto"/>
        </w:rPr>
        <w:t>10</w:t>
      </w:r>
      <w:r>
        <w:rPr>
          <w:b w:val="0"/>
          <w:bCs w:val="0"/>
          <w:color w:val="auto"/>
        </w:rPr>
        <w:fldChar w:fldCharType="end"/>
      </w:r>
      <w:r>
        <w:rPr>
          <w:b w:val="0"/>
          <w:bCs w:val="0"/>
          <w:color w:val="auto"/>
        </w:rPr>
        <w:fldChar w:fldCharType="end"/>
      </w:r>
    </w:p>
    <w:p>
      <w:pPr>
        <w:pStyle w:val="11"/>
        <w:tabs>
          <w:tab w:val="clear" w:pos="840"/>
        </w:tabs>
        <w:rPr>
          <w:rFonts w:asciiTheme="minorHAnsi" w:hAnsiTheme="minorHAnsi" w:eastAsiaTheme="minorEastAsia"/>
          <w:b/>
          <w:bCs/>
          <w:sz w:val="21"/>
          <w:szCs w:val="22"/>
        </w:rPr>
      </w:pPr>
      <w:r>
        <w:rPr>
          <w:b/>
          <w:bCs/>
        </w:rPr>
        <w:fldChar w:fldCharType="begin"/>
      </w:r>
      <w:r>
        <w:rPr>
          <w:b/>
          <w:bCs/>
        </w:rPr>
        <w:instrText xml:space="preserve"> HYPERLINK \l "_Toc76476747" </w:instrText>
      </w:r>
      <w:r>
        <w:rPr>
          <w:b/>
          <w:bCs/>
        </w:rPr>
        <w:fldChar w:fldCharType="separate"/>
      </w:r>
      <w:r>
        <w:rPr>
          <w:rStyle w:val="15"/>
          <w:b/>
          <w:bCs/>
        </w:rPr>
        <w:t>二、评价工作情况</w:t>
      </w:r>
      <w:r>
        <w:rPr>
          <w:b/>
          <w:bCs/>
        </w:rPr>
        <w:tab/>
      </w:r>
      <w:r>
        <w:rPr>
          <w:b/>
          <w:bCs/>
        </w:rPr>
        <w:fldChar w:fldCharType="begin"/>
      </w:r>
      <w:r>
        <w:rPr>
          <w:b/>
          <w:bCs/>
        </w:rPr>
        <w:instrText xml:space="preserve"> PAGEREF _Toc76476747 \h </w:instrText>
      </w:r>
      <w:r>
        <w:rPr>
          <w:b/>
          <w:bCs/>
        </w:rPr>
        <w:fldChar w:fldCharType="separate"/>
      </w:r>
      <w:r>
        <w:rPr>
          <w:b/>
          <w:bCs/>
        </w:rPr>
        <w:t>12</w:t>
      </w:r>
      <w:r>
        <w:rPr>
          <w:b/>
          <w:bCs/>
        </w:rPr>
        <w:fldChar w:fldCharType="end"/>
      </w:r>
      <w:r>
        <w:rPr>
          <w:b/>
          <w:bCs/>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"_Toc76476748"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（一）</w:t>
      </w:r>
      <w:r>
        <w:rPr>
          <w:rStyle w:val="15"/>
          <w:b w:val="0"/>
          <w:bCs w:val="0"/>
          <w:color w:val="auto"/>
        </w:rPr>
        <w:t>评价目的</w:t>
      </w:r>
      <w:r>
        <w:rPr>
          <w:b w:val="0"/>
          <w:bCs w:val="0"/>
          <w:color w:val="auto"/>
        </w:rPr>
        <w:tab/>
      </w:r>
      <w:r>
        <w:rPr>
          <w:b w:val="0"/>
          <w:bCs w:val="0"/>
          <w:color w:val="auto"/>
        </w:rPr>
        <w:fldChar w:fldCharType="begin"/>
      </w:r>
      <w:r>
        <w:rPr>
          <w:b w:val="0"/>
          <w:bCs w:val="0"/>
          <w:color w:val="auto"/>
        </w:rPr>
        <w:instrText xml:space="preserve"> PAGEREF _Toc76476748 \h </w:instrText>
      </w:r>
      <w:r>
        <w:rPr>
          <w:b w:val="0"/>
          <w:bCs w:val="0"/>
          <w:color w:val="auto"/>
        </w:rPr>
        <w:fldChar w:fldCharType="separate"/>
      </w:r>
      <w:r>
        <w:rPr>
          <w:b w:val="0"/>
          <w:bCs w:val="0"/>
          <w:color w:val="auto"/>
        </w:rPr>
        <w:t>12</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"_Toc76476749" </w:instrText>
      </w:r>
      <w:r>
        <w:rPr>
          <w:b w:val="0"/>
          <w:bCs w:val="0"/>
          <w:color w:val="auto"/>
        </w:rPr>
        <w:fldChar w:fldCharType="separate"/>
      </w:r>
      <w:r>
        <w:rPr>
          <w:rStyle w:val="15"/>
          <w:b w:val="0"/>
          <w:bCs w:val="0"/>
          <w:color w:val="auto"/>
          <w:lang w:bidi="zh-CN"/>
          <w14:scene3d>
            <w14:lightRig w14:rig="threePt" w14:dir="t">
              <w14:rot w14:lat="0" w14:lon="0" w14:rev="0"/>
            </w14:lightRig>
          </w14:scene3d>
        </w:rPr>
        <w:t>（二）</w:t>
      </w:r>
      <w:r>
        <w:rPr>
          <w:rStyle w:val="15"/>
          <w:b w:val="0"/>
          <w:bCs w:val="0"/>
          <w:color w:val="auto"/>
        </w:rPr>
        <w:t>评价依据</w:t>
      </w:r>
      <w:r>
        <w:rPr>
          <w:b w:val="0"/>
          <w:bCs w:val="0"/>
          <w:color w:val="auto"/>
        </w:rPr>
        <w:tab/>
      </w:r>
      <w:r>
        <w:rPr>
          <w:b w:val="0"/>
          <w:bCs w:val="0"/>
          <w:color w:val="auto"/>
        </w:rPr>
        <w:fldChar w:fldCharType="begin"/>
      </w:r>
      <w:r>
        <w:rPr>
          <w:b w:val="0"/>
          <w:bCs w:val="0"/>
          <w:color w:val="auto"/>
        </w:rPr>
        <w:instrText xml:space="preserve"> PAGEREF _Toc76476749 \h </w:instrText>
      </w:r>
      <w:r>
        <w:rPr>
          <w:b w:val="0"/>
          <w:bCs w:val="0"/>
          <w:color w:val="auto"/>
        </w:rPr>
        <w:fldChar w:fldCharType="separate"/>
      </w:r>
      <w:r>
        <w:rPr>
          <w:b w:val="0"/>
          <w:bCs w:val="0"/>
          <w:color w:val="auto"/>
        </w:rPr>
        <w:t>13</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"_Toc76476750"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（三）</w:t>
      </w:r>
      <w:r>
        <w:rPr>
          <w:rStyle w:val="15"/>
          <w:b w:val="0"/>
          <w:bCs w:val="0"/>
          <w:color w:val="auto"/>
        </w:rPr>
        <w:t>评价对象和评价时段</w:t>
      </w:r>
      <w:r>
        <w:rPr>
          <w:b w:val="0"/>
          <w:bCs w:val="0"/>
          <w:color w:val="auto"/>
        </w:rPr>
        <w:tab/>
      </w:r>
      <w:r>
        <w:rPr>
          <w:b w:val="0"/>
          <w:bCs w:val="0"/>
          <w:color w:val="auto"/>
        </w:rPr>
        <w:fldChar w:fldCharType="begin"/>
      </w:r>
      <w:r>
        <w:rPr>
          <w:b w:val="0"/>
          <w:bCs w:val="0"/>
          <w:color w:val="auto"/>
        </w:rPr>
        <w:instrText xml:space="preserve"> PAGEREF _Toc76476750 \h </w:instrText>
      </w:r>
      <w:r>
        <w:rPr>
          <w:b w:val="0"/>
          <w:bCs w:val="0"/>
          <w:color w:val="auto"/>
        </w:rPr>
        <w:fldChar w:fldCharType="separate"/>
      </w:r>
      <w:r>
        <w:rPr>
          <w:b w:val="0"/>
          <w:bCs w:val="0"/>
          <w:color w:val="auto"/>
        </w:rPr>
        <w:t>14</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"_Toc76476751" </w:instrText>
      </w:r>
      <w:r>
        <w:rPr>
          <w:b w:val="0"/>
          <w:bCs w:val="0"/>
          <w:color w:val="auto"/>
        </w:rPr>
        <w:fldChar w:fldCharType="separate"/>
      </w:r>
      <w:r>
        <w:rPr>
          <w:rStyle w:val="15"/>
          <w:b w:val="0"/>
          <w:bCs w:val="0"/>
          <w:color w:val="auto"/>
          <w:lang w:bidi="zh-CN"/>
          <w14:scene3d>
            <w14:lightRig w14:rig="threePt" w14:dir="t">
              <w14:rot w14:lat="0" w14:lon="0" w14:rev="0"/>
            </w14:lightRig>
          </w14:scene3d>
        </w:rPr>
        <w:t>（四）</w:t>
      </w:r>
      <w:r>
        <w:rPr>
          <w:rStyle w:val="15"/>
          <w:b w:val="0"/>
          <w:bCs w:val="0"/>
          <w:color w:val="auto"/>
        </w:rPr>
        <w:t>数据采集方法及过程</w:t>
      </w:r>
      <w:r>
        <w:rPr>
          <w:b w:val="0"/>
          <w:bCs w:val="0"/>
          <w:color w:val="auto"/>
        </w:rPr>
        <w:tab/>
      </w:r>
      <w:r>
        <w:rPr>
          <w:b w:val="0"/>
          <w:bCs w:val="0"/>
          <w:color w:val="auto"/>
        </w:rPr>
        <w:fldChar w:fldCharType="begin"/>
      </w:r>
      <w:r>
        <w:rPr>
          <w:b w:val="0"/>
          <w:bCs w:val="0"/>
          <w:color w:val="auto"/>
        </w:rPr>
        <w:instrText xml:space="preserve"> PAGEREF _Toc76476751 \h </w:instrText>
      </w:r>
      <w:r>
        <w:rPr>
          <w:b w:val="0"/>
          <w:bCs w:val="0"/>
          <w:color w:val="auto"/>
        </w:rPr>
        <w:fldChar w:fldCharType="separate"/>
      </w:r>
      <w:r>
        <w:rPr>
          <w:b w:val="0"/>
          <w:bCs w:val="0"/>
          <w:color w:val="auto"/>
        </w:rPr>
        <w:t>14</w:t>
      </w:r>
      <w:r>
        <w:rPr>
          <w:b w:val="0"/>
          <w:bCs w:val="0"/>
          <w:color w:val="auto"/>
        </w:rPr>
        <w:fldChar w:fldCharType="end"/>
      </w:r>
      <w:r>
        <w:rPr>
          <w:b w:val="0"/>
          <w:bCs w:val="0"/>
          <w:color w:val="auto"/>
        </w:rPr>
        <w:fldChar w:fldCharType="end"/>
      </w:r>
    </w:p>
    <w:p>
      <w:pPr>
        <w:pStyle w:val="11"/>
        <w:tabs>
          <w:tab w:val="clear" w:pos="840"/>
        </w:tabs>
        <w:rPr>
          <w:rFonts w:asciiTheme="minorHAnsi" w:hAnsiTheme="minorHAnsi" w:eastAsiaTheme="minorEastAsia"/>
          <w:b/>
          <w:bCs/>
          <w:color w:val="auto"/>
          <w:sz w:val="21"/>
          <w:szCs w:val="22"/>
        </w:rPr>
      </w:pPr>
      <w:r>
        <w:rPr>
          <w:b/>
          <w:bCs/>
          <w:color w:val="auto"/>
        </w:rPr>
        <w:fldChar w:fldCharType="begin"/>
      </w:r>
      <w:r>
        <w:rPr>
          <w:b/>
          <w:bCs/>
          <w:color w:val="auto"/>
        </w:rPr>
        <w:instrText xml:space="preserve"> HYPERLINK \l "_Toc76476752" </w:instrText>
      </w:r>
      <w:r>
        <w:rPr>
          <w:b/>
          <w:bCs/>
          <w:color w:val="auto"/>
        </w:rPr>
        <w:fldChar w:fldCharType="separate"/>
      </w:r>
      <w:r>
        <w:rPr>
          <w:rStyle w:val="15"/>
          <w:b/>
          <w:bCs/>
          <w:color w:val="auto"/>
        </w:rPr>
        <w:t>三、评价结论与部门成效</w:t>
      </w:r>
      <w:r>
        <w:rPr>
          <w:b/>
          <w:bCs/>
          <w:color w:val="auto"/>
        </w:rPr>
        <w:tab/>
      </w:r>
      <w:r>
        <w:rPr>
          <w:b/>
          <w:bCs/>
          <w:color w:val="auto"/>
        </w:rPr>
        <w:fldChar w:fldCharType="begin"/>
      </w:r>
      <w:r>
        <w:rPr>
          <w:b/>
          <w:bCs/>
          <w:color w:val="auto"/>
        </w:rPr>
        <w:instrText xml:space="preserve"> PAGEREF _Toc76476752 \h </w:instrText>
      </w:r>
      <w:r>
        <w:rPr>
          <w:b/>
          <w:bCs/>
          <w:color w:val="auto"/>
        </w:rPr>
        <w:fldChar w:fldCharType="separate"/>
      </w:r>
      <w:r>
        <w:rPr>
          <w:b/>
          <w:bCs/>
          <w:color w:val="auto"/>
        </w:rPr>
        <w:t>16</w:t>
      </w:r>
      <w:r>
        <w:rPr>
          <w:b/>
          <w:bCs/>
          <w:color w:val="auto"/>
        </w:rPr>
        <w:fldChar w:fldCharType="end"/>
      </w:r>
      <w:r>
        <w:rPr>
          <w:b/>
          <w:bCs/>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"_Toc76476753"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（一）</w:t>
      </w:r>
      <w:r>
        <w:rPr>
          <w:rStyle w:val="15"/>
          <w:b w:val="0"/>
          <w:bCs w:val="0"/>
          <w:color w:val="auto"/>
        </w:rPr>
        <w:t>评价结论</w:t>
      </w:r>
      <w:r>
        <w:rPr>
          <w:b w:val="0"/>
          <w:bCs w:val="0"/>
          <w:color w:val="auto"/>
        </w:rPr>
        <w:tab/>
      </w:r>
      <w:r>
        <w:rPr>
          <w:b w:val="0"/>
          <w:bCs w:val="0"/>
          <w:color w:val="auto"/>
        </w:rPr>
        <w:fldChar w:fldCharType="begin"/>
      </w:r>
      <w:r>
        <w:rPr>
          <w:b w:val="0"/>
          <w:bCs w:val="0"/>
          <w:color w:val="auto"/>
        </w:rPr>
        <w:instrText xml:space="preserve"> PAGEREF _Toc76476753 \h </w:instrText>
      </w:r>
      <w:r>
        <w:rPr>
          <w:b w:val="0"/>
          <w:bCs w:val="0"/>
          <w:color w:val="auto"/>
        </w:rPr>
        <w:fldChar w:fldCharType="separate"/>
      </w:r>
      <w:r>
        <w:rPr>
          <w:b w:val="0"/>
          <w:bCs w:val="0"/>
          <w:color w:val="auto"/>
        </w:rPr>
        <w:t>16</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"_Toc76476754" </w:instrText>
      </w:r>
      <w:r>
        <w:rPr>
          <w:b w:val="0"/>
          <w:bCs w:val="0"/>
          <w:color w:val="auto"/>
        </w:rPr>
        <w:fldChar w:fldCharType="separate"/>
      </w:r>
      <w:r>
        <w:rPr>
          <w:rStyle w:val="15"/>
          <w:b w:val="0"/>
          <w:bCs w:val="0"/>
          <w:color w:val="auto"/>
          <w:lang w:bidi="zh-CN"/>
          <w14:scene3d>
            <w14:lightRig w14:rig="threePt" w14:dir="t">
              <w14:rot w14:lat="0" w14:lon="0" w14:rev="0"/>
            </w14:lightRig>
          </w14:scene3d>
        </w:rPr>
        <w:t>（二）</w:t>
      </w:r>
      <w:r>
        <w:rPr>
          <w:rStyle w:val="15"/>
          <w:b w:val="0"/>
          <w:bCs w:val="0"/>
          <w:color w:val="auto"/>
        </w:rPr>
        <w:t>部门履职情况和绩效</w:t>
      </w:r>
      <w:r>
        <w:rPr>
          <w:b w:val="0"/>
          <w:bCs w:val="0"/>
          <w:color w:val="auto"/>
        </w:rPr>
        <w:tab/>
      </w:r>
      <w:r>
        <w:rPr>
          <w:b w:val="0"/>
          <w:bCs w:val="0"/>
          <w:color w:val="auto"/>
        </w:rPr>
        <w:fldChar w:fldCharType="begin"/>
      </w:r>
      <w:r>
        <w:rPr>
          <w:b w:val="0"/>
          <w:bCs w:val="0"/>
          <w:color w:val="auto"/>
        </w:rPr>
        <w:instrText xml:space="preserve"> PAGEREF _Toc76476754 \h </w:instrText>
      </w:r>
      <w:r>
        <w:rPr>
          <w:b w:val="0"/>
          <w:bCs w:val="0"/>
          <w:color w:val="auto"/>
        </w:rPr>
        <w:fldChar w:fldCharType="separate"/>
      </w:r>
      <w:r>
        <w:rPr>
          <w:b w:val="0"/>
          <w:bCs w:val="0"/>
          <w:color w:val="auto"/>
        </w:rPr>
        <w:t>17</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"_Toc76476755"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（三）</w:t>
      </w:r>
      <w:r>
        <w:rPr>
          <w:rStyle w:val="15"/>
          <w:b w:val="0"/>
          <w:bCs w:val="0"/>
          <w:color w:val="auto"/>
        </w:rPr>
        <w:t>满意度分析</w:t>
      </w:r>
      <w:r>
        <w:rPr>
          <w:b w:val="0"/>
          <w:bCs w:val="0"/>
          <w:color w:val="auto"/>
        </w:rPr>
        <w:tab/>
      </w:r>
      <w:r>
        <w:rPr>
          <w:b w:val="0"/>
          <w:bCs w:val="0"/>
          <w:color w:val="auto"/>
        </w:rPr>
        <w:fldChar w:fldCharType="begin"/>
      </w:r>
      <w:r>
        <w:rPr>
          <w:b w:val="0"/>
          <w:bCs w:val="0"/>
          <w:color w:val="auto"/>
        </w:rPr>
        <w:instrText xml:space="preserve"> PAGEREF _Toc76476755 \h </w:instrText>
      </w:r>
      <w:r>
        <w:rPr>
          <w:b w:val="0"/>
          <w:bCs w:val="0"/>
          <w:color w:val="auto"/>
        </w:rPr>
        <w:fldChar w:fldCharType="separate"/>
      </w:r>
      <w:r>
        <w:rPr>
          <w:b w:val="0"/>
          <w:bCs w:val="0"/>
          <w:color w:val="auto"/>
        </w:rPr>
        <w:t>21</w:t>
      </w:r>
      <w:r>
        <w:rPr>
          <w:b w:val="0"/>
          <w:bCs w:val="0"/>
          <w:color w:val="auto"/>
        </w:rPr>
        <w:fldChar w:fldCharType="end"/>
      </w:r>
      <w:r>
        <w:rPr>
          <w:b w:val="0"/>
          <w:bCs w:val="0"/>
          <w:color w:val="auto"/>
        </w:rPr>
        <w:fldChar w:fldCharType="end"/>
      </w:r>
    </w:p>
    <w:p>
      <w:pPr>
        <w:pStyle w:val="11"/>
        <w:tabs>
          <w:tab w:val="clear" w:pos="840"/>
        </w:tabs>
        <w:rPr>
          <w:rFonts w:asciiTheme="minorHAnsi" w:hAnsiTheme="minorHAnsi" w:eastAsiaTheme="minorEastAsia"/>
          <w:b/>
          <w:bCs/>
          <w:color w:val="auto"/>
          <w:sz w:val="21"/>
          <w:szCs w:val="22"/>
        </w:rPr>
      </w:pPr>
      <w:r>
        <w:rPr>
          <w:b/>
          <w:bCs/>
          <w:color w:val="auto"/>
        </w:rPr>
        <w:fldChar w:fldCharType="begin"/>
      </w:r>
      <w:r>
        <w:rPr>
          <w:b/>
          <w:bCs/>
          <w:color w:val="auto"/>
        </w:rPr>
        <w:instrText xml:space="preserve"> HYPERLINK \l "_Toc76476756" </w:instrText>
      </w:r>
      <w:r>
        <w:rPr>
          <w:b/>
          <w:bCs/>
          <w:color w:val="auto"/>
        </w:rPr>
        <w:fldChar w:fldCharType="separate"/>
      </w:r>
      <w:r>
        <w:rPr>
          <w:rStyle w:val="15"/>
          <w:b/>
          <w:bCs/>
          <w:color w:val="auto"/>
        </w:rPr>
        <w:t>四、部门履职成效</w:t>
      </w:r>
      <w:r>
        <w:rPr>
          <w:b/>
          <w:bCs/>
          <w:color w:val="auto"/>
        </w:rPr>
        <w:tab/>
      </w:r>
      <w:r>
        <w:rPr>
          <w:b/>
          <w:bCs/>
          <w:color w:val="auto"/>
        </w:rPr>
        <w:fldChar w:fldCharType="begin"/>
      </w:r>
      <w:r>
        <w:rPr>
          <w:b/>
          <w:bCs/>
          <w:color w:val="auto"/>
        </w:rPr>
        <w:instrText xml:space="preserve"> PAGEREF _Toc76476756 \h </w:instrText>
      </w:r>
      <w:r>
        <w:rPr>
          <w:b/>
          <w:bCs/>
          <w:color w:val="auto"/>
        </w:rPr>
        <w:fldChar w:fldCharType="separate"/>
      </w:r>
      <w:r>
        <w:rPr>
          <w:b/>
          <w:bCs/>
          <w:color w:val="auto"/>
        </w:rPr>
        <w:t>22</w:t>
      </w:r>
      <w:r>
        <w:rPr>
          <w:b/>
          <w:bCs/>
          <w:color w:val="auto"/>
        </w:rPr>
        <w:fldChar w:fldCharType="end"/>
      </w:r>
      <w:r>
        <w:rPr>
          <w:b/>
          <w:bCs/>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"_Toc76476757"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（一）</w:t>
      </w:r>
      <w:r>
        <w:rPr>
          <w:rStyle w:val="15"/>
          <w:b w:val="0"/>
          <w:bCs w:val="0"/>
          <w:color w:val="auto"/>
        </w:rPr>
        <w:t>推动中央和省委决策部署落地落实</w:t>
      </w:r>
      <w:r>
        <w:rPr>
          <w:b w:val="0"/>
          <w:bCs w:val="0"/>
          <w:color w:val="auto"/>
        </w:rPr>
        <w:tab/>
      </w:r>
      <w:r>
        <w:rPr>
          <w:b w:val="0"/>
          <w:bCs w:val="0"/>
          <w:color w:val="auto"/>
        </w:rPr>
        <w:fldChar w:fldCharType="begin"/>
      </w:r>
      <w:r>
        <w:rPr>
          <w:b w:val="0"/>
          <w:bCs w:val="0"/>
          <w:color w:val="auto"/>
        </w:rPr>
        <w:instrText xml:space="preserve"> PAGEREF _Toc76476757 \h </w:instrText>
      </w:r>
      <w:r>
        <w:rPr>
          <w:b w:val="0"/>
          <w:bCs w:val="0"/>
          <w:color w:val="auto"/>
        </w:rPr>
        <w:fldChar w:fldCharType="separate"/>
      </w:r>
      <w:r>
        <w:rPr>
          <w:b w:val="0"/>
          <w:bCs w:val="0"/>
          <w:color w:val="auto"/>
        </w:rPr>
        <w:t>22</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"_Toc76476758" </w:instrText>
      </w:r>
      <w:r>
        <w:rPr>
          <w:b w:val="0"/>
          <w:bCs w:val="0"/>
          <w:color w:val="auto"/>
        </w:rPr>
        <w:fldChar w:fldCharType="separate"/>
      </w:r>
      <w:r>
        <w:rPr>
          <w:rStyle w:val="15"/>
          <w:b w:val="0"/>
          <w:bCs w:val="0"/>
          <w:color w:val="auto"/>
          <w:lang w:bidi="zh-CN"/>
          <w14:scene3d>
            <w14:lightRig w14:rig="threePt" w14:dir="t">
              <w14:rot w14:lat="0" w14:lon="0" w14:rev="0"/>
            </w14:lightRig>
          </w14:scene3d>
        </w:rPr>
        <w:t>（二）</w:t>
      </w:r>
      <w:r>
        <w:rPr>
          <w:rStyle w:val="15"/>
          <w:b w:val="0"/>
          <w:bCs w:val="0"/>
          <w:color w:val="auto"/>
        </w:rPr>
        <w:t>完善立法机制，不断提高立法质量</w:t>
      </w:r>
      <w:r>
        <w:rPr>
          <w:b w:val="0"/>
          <w:bCs w:val="0"/>
          <w:color w:val="auto"/>
        </w:rPr>
        <w:tab/>
      </w:r>
      <w:r>
        <w:rPr>
          <w:b w:val="0"/>
          <w:bCs w:val="0"/>
          <w:color w:val="auto"/>
        </w:rPr>
        <w:fldChar w:fldCharType="begin"/>
      </w:r>
      <w:r>
        <w:rPr>
          <w:b w:val="0"/>
          <w:bCs w:val="0"/>
          <w:color w:val="auto"/>
        </w:rPr>
        <w:instrText xml:space="preserve"> PAGEREF _Toc76476758 \h </w:instrText>
      </w:r>
      <w:r>
        <w:rPr>
          <w:b w:val="0"/>
          <w:bCs w:val="0"/>
          <w:color w:val="auto"/>
        </w:rPr>
        <w:fldChar w:fldCharType="separate"/>
      </w:r>
      <w:r>
        <w:rPr>
          <w:b w:val="0"/>
          <w:bCs w:val="0"/>
          <w:color w:val="auto"/>
        </w:rPr>
        <w:t>23</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"_Toc76476759" </w:instrText>
      </w:r>
      <w:r>
        <w:rPr>
          <w:b w:val="0"/>
          <w:bCs w:val="0"/>
          <w:color w:val="auto"/>
        </w:rPr>
        <w:fldChar w:fldCharType="separate"/>
      </w:r>
      <w:r>
        <w:rPr>
          <w:rStyle w:val="15"/>
          <w:b w:val="0"/>
          <w:bCs w:val="0"/>
          <w:color w:val="auto"/>
          <w:lang w:bidi="zh-CN"/>
          <w14:scene3d>
            <w14:lightRig w14:rig="threePt" w14:dir="t">
              <w14:rot w14:lat="0" w14:lon="0" w14:rev="0"/>
            </w14:lightRig>
          </w14:scene3d>
        </w:rPr>
        <w:t>（三）</w:t>
      </w:r>
      <w:r>
        <w:rPr>
          <w:rStyle w:val="15"/>
          <w:b w:val="0"/>
          <w:bCs w:val="0"/>
          <w:color w:val="auto"/>
        </w:rPr>
        <w:t>服务发展大局，切实增强监督实效</w:t>
      </w:r>
      <w:r>
        <w:rPr>
          <w:b w:val="0"/>
          <w:bCs w:val="0"/>
          <w:color w:val="auto"/>
        </w:rPr>
        <w:tab/>
      </w:r>
      <w:r>
        <w:rPr>
          <w:b w:val="0"/>
          <w:bCs w:val="0"/>
          <w:color w:val="auto"/>
        </w:rPr>
        <w:fldChar w:fldCharType="begin"/>
      </w:r>
      <w:r>
        <w:rPr>
          <w:b w:val="0"/>
          <w:bCs w:val="0"/>
          <w:color w:val="auto"/>
        </w:rPr>
        <w:instrText xml:space="preserve"> PAGEREF _Toc76476759 \h </w:instrText>
      </w:r>
      <w:r>
        <w:rPr>
          <w:b w:val="0"/>
          <w:bCs w:val="0"/>
          <w:color w:val="auto"/>
        </w:rPr>
        <w:fldChar w:fldCharType="separate"/>
      </w:r>
      <w:r>
        <w:rPr>
          <w:b w:val="0"/>
          <w:bCs w:val="0"/>
          <w:color w:val="auto"/>
        </w:rPr>
        <w:t>26</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b w:val="0"/>
          <w:bCs w:val="0"/>
          <w:color w:val="auto"/>
          <w:sz w:val="21"/>
        </w:rPr>
      </w:pPr>
      <w:r>
        <w:rPr>
          <w:b w:val="0"/>
          <w:bCs w:val="0"/>
          <w:color w:val="auto"/>
        </w:rPr>
        <w:fldChar w:fldCharType="begin"/>
      </w:r>
      <w:r>
        <w:rPr>
          <w:b w:val="0"/>
          <w:bCs w:val="0"/>
          <w:color w:val="auto"/>
        </w:rPr>
        <w:instrText xml:space="preserve"> HYPERLINK \l "_Toc76476760" </w:instrText>
      </w:r>
      <w:r>
        <w:rPr>
          <w:b w:val="0"/>
          <w:bCs w:val="0"/>
          <w:color w:val="auto"/>
        </w:rPr>
        <w:fldChar w:fldCharType="separate"/>
      </w:r>
      <w:r>
        <w:rPr>
          <w:rStyle w:val="15"/>
          <w:b w:val="0"/>
          <w:bCs w:val="0"/>
          <w:color w:val="auto"/>
          <w:lang w:bidi="zh-CN"/>
          <w14:scene3d>
            <w14:lightRig w14:rig="threePt" w14:dir="t">
              <w14:rot w14:lat="0" w14:lon="0" w14:rev="0"/>
            </w14:lightRig>
          </w14:scene3d>
        </w:rPr>
        <w:t>（四）</w:t>
      </w:r>
      <w:r>
        <w:rPr>
          <w:rStyle w:val="15"/>
          <w:b w:val="0"/>
          <w:bCs w:val="0"/>
          <w:color w:val="auto"/>
        </w:rPr>
        <w:t>突出主体地位，保障代表依法履职</w:t>
      </w:r>
      <w:r>
        <w:rPr>
          <w:b w:val="0"/>
          <w:bCs w:val="0"/>
          <w:color w:val="auto"/>
        </w:rPr>
        <w:tab/>
      </w:r>
      <w:r>
        <w:rPr>
          <w:b w:val="0"/>
          <w:bCs w:val="0"/>
          <w:color w:val="auto"/>
        </w:rPr>
        <w:fldChar w:fldCharType="begin"/>
      </w:r>
      <w:r>
        <w:rPr>
          <w:b w:val="0"/>
          <w:bCs w:val="0"/>
          <w:color w:val="auto"/>
        </w:rPr>
        <w:instrText xml:space="preserve"> PAGEREF _Toc76476760 \h </w:instrText>
      </w:r>
      <w:r>
        <w:rPr>
          <w:b w:val="0"/>
          <w:bCs w:val="0"/>
          <w:color w:val="auto"/>
        </w:rPr>
        <w:fldChar w:fldCharType="separate"/>
      </w:r>
      <w:r>
        <w:rPr>
          <w:b w:val="0"/>
          <w:bCs w:val="0"/>
          <w:color w:val="auto"/>
        </w:rPr>
        <w:t>28</w:t>
      </w:r>
      <w:r>
        <w:rPr>
          <w:b w:val="0"/>
          <w:bCs w:val="0"/>
          <w:color w:val="auto"/>
        </w:rPr>
        <w:fldChar w:fldCharType="end"/>
      </w:r>
      <w:r>
        <w:rPr>
          <w:b w:val="0"/>
          <w:bCs w:val="0"/>
          <w:color w:val="auto"/>
        </w:rPr>
        <w:fldChar w:fldCharType="end"/>
      </w:r>
    </w:p>
    <w:p>
      <w:pPr>
        <w:pStyle w:val="13"/>
        <w:tabs>
          <w:tab w:val="right" w:leader="dot" w:pos="8296"/>
        </w:tabs>
        <w:ind w:left="420"/>
        <w:rPr>
          <w:rFonts w:asciiTheme="minorHAnsi" w:hAnsiTheme="minorHAnsi" w:eastAsiaTheme="minorEastAsia"/>
          <w:sz w:val="21"/>
        </w:rPr>
      </w:pPr>
      <w:r>
        <w:rPr>
          <w:b w:val="0"/>
          <w:bCs w:val="0"/>
          <w:color w:val="auto"/>
        </w:rPr>
        <w:fldChar w:fldCharType="begin"/>
      </w:r>
      <w:r>
        <w:rPr>
          <w:b w:val="0"/>
          <w:bCs w:val="0"/>
          <w:color w:val="auto"/>
        </w:rPr>
        <w:instrText xml:space="preserve"> HYPERLINK \l "_Toc76476761" </w:instrText>
      </w:r>
      <w:r>
        <w:rPr>
          <w:b w:val="0"/>
          <w:bCs w:val="0"/>
          <w:color w:val="auto"/>
        </w:rPr>
        <w:fldChar w:fldCharType="separate"/>
      </w:r>
      <w:r>
        <w:rPr>
          <w:rStyle w:val="15"/>
          <w:b w:val="0"/>
          <w:bCs w:val="0"/>
          <w:color w:val="auto"/>
          <w:lang w:bidi="zh-CN"/>
          <w14:scene3d>
            <w14:lightRig w14:rig="threePt" w14:dir="t">
              <w14:rot w14:lat="0" w14:lon="0" w14:rev="0"/>
            </w14:lightRig>
          </w14:scene3d>
        </w:rPr>
        <w:t>（五）</w:t>
      </w:r>
      <w:r>
        <w:rPr>
          <w:rStyle w:val="15"/>
          <w:b w:val="0"/>
          <w:bCs w:val="0"/>
          <w:color w:val="auto"/>
        </w:rPr>
        <w:t>加强自身建设，夯实人大履职基础</w:t>
      </w:r>
      <w:r>
        <w:rPr>
          <w:b w:val="0"/>
          <w:bCs w:val="0"/>
          <w:color w:val="auto"/>
        </w:rPr>
        <w:tab/>
      </w:r>
      <w:r>
        <w:rPr>
          <w:b w:val="0"/>
          <w:bCs w:val="0"/>
          <w:color w:val="auto"/>
        </w:rPr>
        <w:fldChar w:fldCharType="begin"/>
      </w:r>
      <w:r>
        <w:rPr>
          <w:b w:val="0"/>
          <w:bCs w:val="0"/>
          <w:color w:val="auto"/>
        </w:rPr>
        <w:instrText xml:space="preserve"> PAGEREF _Toc76476761 \h </w:instrText>
      </w:r>
      <w:r>
        <w:rPr>
          <w:b w:val="0"/>
          <w:bCs w:val="0"/>
          <w:color w:val="auto"/>
        </w:rPr>
        <w:fldChar w:fldCharType="separate"/>
      </w:r>
      <w:r>
        <w:rPr>
          <w:b w:val="0"/>
          <w:bCs w:val="0"/>
          <w:color w:val="auto"/>
        </w:rPr>
        <w:t>30</w:t>
      </w:r>
      <w:r>
        <w:rPr>
          <w:b w:val="0"/>
          <w:bCs w:val="0"/>
          <w:color w:val="auto"/>
        </w:rPr>
        <w:fldChar w:fldCharType="end"/>
      </w:r>
      <w:r>
        <w:rPr>
          <w:b w:val="0"/>
          <w:bCs w:val="0"/>
          <w:color w:val="auto"/>
        </w:rPr>
        <w:fldChar w:fldCharType="end"/>
      </w:r>
    </w:p>
    <w:p>
      <w:pPr>
        <w:pStyle w:val="11"/>
        <w:tabs>
          <w:tab w:val="clear" w:pos="840"/>
        </w:tabs>
        <w:rPr>
          <w:rFonts w:asciiTheme="minorHAnsi" w:hAnsiTheme="minorHAnsi" w:eastAsiaTheme="minorEastAsia"/>
          <w:b w:val="0"/>
          <w:bCs w:val="0"/>
          <w:sz w:val="21"/>
          <w:szCs w:val="22"/>
        </w:rPr>
      </w:pPr>
      <w:r>
        <w:fldChar w:fldCharType="begin"/>
      </w:r>
      <w:r>
        <w:instrText xml:space="preserve"> HYPERLINK \l "_Toc76476762" </w:instrText>
      </w:r>
      <w:r>
        <w:fldChar w:fldCharType="separate"/>
      </w:r>
      <w:r>
        <w:rPr>
          <w:rStyle w:val="15"/>
        </w:rPr>
        <w:t>五、存在的问题</w:t>
      </w:r>
      <w:r>
        <w:tab/>
      </w:r>
      <w:r>
        <w:fldChar w:fldCharType="begin"/>
      </w:r>
      <w:r>
        <w:instrText xml:space="preserve"> PAGEREF _Toc76476762 \h </w:instrText>
      </w:r>
      <w:r>
        <w:fldChar w:fldCharType="separate"/>
      </w:r>
      <w:r>
        <w:t>32</w:t>
      </w:r>
      <w:r>
        <w:fldChar w:fldCharType="end"/>
      </w:r>
      <w:r>
        <w:fldChar w:fldCharType="end"/>
      </w:r>
    </w:p>
    <w:p>
      <w:pPr>
        <w:pStyle w:val="13"/>
        <w:tabs>
          <w:tab w:val="right" w:leader="dot" w:pos="8296"/>
        </w:tabs>
        <w:ind w:left="420" w:firstLine="144" w:firstLineChars="45"/>
        <w:rPr>
          <w:rFonts w:asciiTheme="minorHAnsi" w:hAnsiTheme="minorHAnsi" w:eastAsiaTheme="minorEastAsia"/>
          <w:sz w:val="21"/>
        </w:rPr>
      </w:pPr>
      <w:r>
        <w:fldChar w:fldCharType="begin"/>
      </w:r>
      <w:r>
        <w:instrText xml:space="preserve"> HYPERLINK \l "_Toc76476763" </w:instrText>
      </w:r>
      <w:r>
        <w:fldChar w:fldCharType="separate"/>
      </w:r>
      <w:r>
        <w:rPr>
          <w:rStyle w:val="15"/>
        </w:rPr>
        <w:t>绩效目标设置不尽合理，科学性有待提高。</w:t>
      </w:r>
      <w:r>
        <w:tab/>
      </w:r>
      <w:r>
        <w:fldChar w:fldCharType="begin"/>
      </w:r>
      <w:r>
        <w:instrText xml:space="preserve"> PAGEREF _Toc76476763 \h </w:instrText>
      </w:r>
      <w:r>
        <w:fldChar w:fldCharType="separate"/>
      </w:r>
      <w:r>
        <w:t>32</w:t>
      </w:r>
      <w:r>
        <w:fldChar w:fldCharType="end"/>
      </w:r>
      <w:r>
        <w:fldChar w:fldCharType="end"/>
      </w:r>
    </w:p>
    <w:p>
      <w:pPr>
        <w:pStyle w:val="11"/>
        <w:tabs>
          <w:tab w:val="clear" w:pos="840"/>
        </w:tabs>
        <w:rPr>
          <w:rFonts w:asciiTheme="minorHAnsi" w:hAnsiTheme="minorHAnsi" w:eastAsiaTheme="minorEastAsia"/>
          <w:b w:val="0"/>
          <w:bCs w:val="0"/>
          <w:sz w:val="21"/>
          <w:szCs w:val="22"/>
        </w:rPr>
      </w:pPr>
      <w:r>
        <w:fldChar w:fldCharType="begin"/>
      </w:r>
      <w:r>
        <w:instrText xml:space="preserve"> HYPERLINK \l "_Toc76476764" </w:instrText>
      </w:r>
      <w:r>
        <w:fldChar w:fldCharType="separate"/>
      </w:r>
      <w:r>
        <w:rPr>
          <w:rStyle w:val="15"/>
        </w:rPr>
        <w:t>六、对策建议</w:t>
      </w:r>
      <w:r>
        <w:tab/>
      </w:r>
      <w:r>
        <w:fldChar w:fldCharType="begin"/>
      </w:r>
      <w:r>
        <w:instrText xml:space="preserve"> PAGEREF _Toc76476764 \h </w:instrText>
      </w:r>
      <w:r>
        <w:fldChar w:fldCharType="separate"/>
      </w:r>
      <w:r>
        <w:t>32</w:t>
      </w:r>
      <w:r>
        <w:fldChar w:fldCharType="end"/>
      </w:r>
      <w:r>
        <w:fldChar w:fldCharType="end"/>
      </w:r>
    </w:p>
    <w:p>
      <w:pPr>
        <w:pStyle w:val="13"/>
        <w:tabs>
          <w:tab w:val="right" w:leader="dot" w:pos="8296"/>
        </w:tabs>
        <w:ind w:left="563" w:leftChars="268"/>
        <w:rPr>
          <w:rFonts w:asciiTheme="minorHAnsi" w:hAnsiTheme="minorHAnsi" w:eastAsiaTheme="minorEastAsia"/>
          <w:sz w:val="21"/>
        </w:rPr>
      </w:pPr>
      <w:r>
        <w:fldChar w:fldCharType="begin"/>
      </w:r>
      <w:r>
        <w:instrText xml:space="preserve"> HYPERLINK \l "_Toc76476765" </w:instrText>
      </w:r>
      <w:r>
        <w:fldChar w:fldCharType="separate"/>
      </w:r>
      <w:r>
        <w:rPr>
          <w:rStyle w:val="15"/>
        </w:rPr>
        <w:t>遵循SMART原则，设置合理的绩效目标</w:t>
      </w:r>
      <w:r>
        <w:tab/>
      </w:r>
      <w:r>
        <w:fldChar w:fldCharType="begin"/>
      </w:r>
      <w:r>
        <w:instrText xml:space="preserve"> PAGEREF _Toc76476765 \h </w:instrText>
      </w:r>
      <w:r>
        <w:fldChar w:fldCharType="separate"/>
      </w:r>
      <w:r>
        <w:t>32</w:t>
      </w:r>
      <w:r>
        <w:fldChar w:fldCharType="end"/>
      </w:r>
      <w:r>
        <w:fldChar w:fldCharType="end"/>
      </w:r>
    </w:p>
    <w:p>
      <w:pPr>
        <w:pStyle w:val="11"/>
        <w:tabs>
          <w:tab w:val="clear" w:pos="840"/>
        </w:tabs>
        <w:rPr>
          <w:rFonts w:asciiTheme="minorHAnsi" w:hAnsiTheme="minorHAnsi" w:eastAsiaTheme="minorEastAsia"/>
          <w:b w:val="0"/>
          <w:bCs w:val="0"/>
          <w:sz w:val="21"/>
          <w:szCs w:val="22"/>
        </w:rPr>
      </w:pPr>
      <w:r>
        <w:fldChar w:fldCharType="begin"/>
      </w:r>
      <w:r>
        <w:instrText xml:space="preserve"> HYPERLINK \l "_Toc76476766" </w:instrText>
      </w:r>
      <w:r>
        <w:fldChar w:fldCharType="separate"/>
      </w:r>
      <w:r>
        <w:rPr>
          <w:rStyle w:val="15"/>
        </w:rPr>
        <w:t>七、其他需要说明的问题</w:t>
      </w:r>
      <w:r>
        <w:tab/>
      </w:r>
      <w:r>
        <w:fldChar w:fldCharType="begin"/>
      </w:r>
      <w:r>
        <w:instrText xml:space="preserve"> PAGEREF _Toc76476766 \h </w:instrText>
      </w:r>
      <w:r>
        <w:fldChar w:fldCharType="separate"/>
      </w:r>
      <w:r>
        <w:t>32</w:t>
      </w:r>
      <w:r>
        <w:fldChar w:fldCharType="end"/>
      </w:r>
      <w:r>
        <w:fldChar w:fldCharType="end"/>
      </w:r>
    </w:p>
    <w:p>
      <w:pPr>
        <w:pStyle w:val="11"/>
        <w:rPr>
          <w:rFonts w:ascii="仿宋_GB2312" w:hAnsi="仿宋_GB2312"/>
          <w:sz w:val="44"/>
          <w:szCs w:val="44"/>
        </w:rPr>
        <w:sectPr>
          <w:headerReference r:id="rId6" w:type="first"/>
          <w:headerReference r:id="rId4" w:type="default"/>
          <w:footerReference r:id="rId7" w:type="default"/>
          <w:headerReference r:id="rId5" w:type="even"/>
          <w:pgSz w:w="11906" w:h="16838"/>
          <w:pgMar w:top="1440" w:right="1800" w:bottom="1440" w:left="1800" w:header="851" w:footer="992" w:gutter="0"/>
          <w:cols w:space="425" w:num="1"/>
          <w:titlePg/>
          <w:docGrid w:type="lines" w:linePitch="312" w:charSpace="0"/>
        </w:sectPr>
      </w:pPr>
      <w:r>
        <w:rPr>
          <w:rFonts w:ascii="仿宋_GB2312" w:hAnsi="仿宋_GB2312"/>
          <w:b w:val="0"/>
          <w:bCs w:val="0"/>
          <w:sz w:val="44"/>
          <w:szCs w:val="44"/>
        </w:rPr>
        <w:fldChar w:fldCharType="end"/>
      </w:r>
    </w:p>
    <w:p>
      <w:pPr>
        <w:pStyle w:val="18"/>
      </w:pPr>
    </w:p>
    <w:p>
      <w:pPr>
        <w:pStyle w:val="18"/>
      </w:pPr>
    </w:p>
    <w:p>
      <w:pPr>
        <w:pStyle w:val="18"/>
      </w:pPr>
      <w:r>
        <w:rPr>
          <w:rFonts w:hint="eastAsia"/>
        </w:rPr>
        <w:t>2020年</w:t>
      </w:r>
      <w:bookmarkStart w:id="0" w:name="_Hlk75791713"/>
      <w:r>
        <w:rPr>
          <w:rFonts w:hint="eastAsia"/>
        </w:rPr>
        <w:t>甘肃省人民代表大会常务委员会</w:t>
      </w:r>
    </w:p>
    <w:p>
      <w:pPr>
        <w:pStyle w:val="18"/>
      </w:pPr>
      <w:r>
        <w:rPr>
          <w:rFonts w:hint="eastAsia"/>
        </w:rPr>
        <w:t>办公厅</w:t>
      </w:r>
      <w:bookmarkEnd w:id="0"/>
      <w:r>
        <w:rPr>
          <w:rFonts w:hint="eastAsia"/>
        </w:rPr>
        <w:t>整体支出绩效评价报告</w:t>
      </w:r>
    </w:p>
    <w:p>
      <w:pPr>
        <w:pStyle w:val="19"/>
      </w:pPr>
    </w:p>
    <w:p>
      <w:pPr>
        <w:pStyle w:val="19"/>
        <w:ind w:firstLine="636" w:firstLineChars="0"/>
      </w:pPr>
      <w:r>
        <w:rPr>
          <w:rFonts w:hint="eastAsia"/>
        </w:rPr>
        <w:t>为深入贯彻落实《中共中央</w:t>
      </w:r>
      <w:r>
        <w:t>国务院关于全面实施预算绩效管理的意见》（中发〔2018〕34号）、</w:t>
      </w:r>
      <w:bookmarkStart w:id="1" w:name="_Hlk75336179"/>
      <w:r>
        <w:rPr>
          <w:rFonts w:hint="eastAsia"/>
        </w:rPr>
        <w:t>《甘肃省财政厅关于开展</w:t>
      </w:r>
      <w:r>
        <w:t>2020年度省级预算执行情况绩效部门评价和财政评价的工作通知</w:t>
      </w:r>
      <w:r>
        <w:rPr>
          <w:rFonts w:hint="eastAsia"/>
        </w:rPr>
        <w:t>》</w:t>
      </w:r>
      <w:r>
        <w:t>（甘财绩</w:t>
      </w:r>
      <w:r>
        <w:rPr>
          <w:rFonts w:hint="eastAsia"/>
        </w:rPr>
        <w:t>〔</w:t>
      </w:r>
      <w:r>
        <w:t>20</w:t>
      </w:r>
      <w:r>
        <w:rPr>
          <w:rFonts w:hint="eastAsia"/>
        </w:rPr>
        <w:t>21</w:t>
      </w:r>
      <w:r>
        <w:t>〕4号）</w:t>
      </w:r>
      <w:bookmarkEnd w:id="1"/>
      <w:r>
        <w:t>，进一步规范财政资金管理，强化部门责任意识，提高财政资金使用效益，根据文件精神，依据中央、甘肃省相关政策和财务会计制度为考察</w:t>
      </w:r>
      <w:r>
        <w:rPr>
          <w:rFonts w:hint="eastAsia"/>
        </w:rPr>
        <w:t>甘肃省人民代表大会常务委员会办公厅</w:t>
      </w:r>
      <w:r>
        <w:t>部门整体支出、部门管理及职责履行等情况，甘肃道瑞科技咨询有限公司（以下简称“我司”）受</w:t>
      </w:r>
      <w:r>
        <w:rPr>
          <w:rFonts w:hint="eastAsia"/>
        </w:rPr>
        <w:t>甘肃省人民代表大会常务委员会办公厅</w:t>
      </w:r>
      <w:r>
        <w:t>委托，对2020年</w:t>
      </w:r>
      <w:r>
        <w:rPr>
          <w:rFonts w:hint="eastAsia"/>
        </w:rPr>
        <w:t>甘肃省人民代表大会常务委员会办公厅</w:t>
      </w:r>
      <w:r>
        <w:t>部门整体支</w:t>
      </w:r>
      <w:r>
        <w:rPr>
          <w:rFonts w:hint="eastAsia"/>
        </w:rPr>
        <w:t>出进行绩效评价。</w:t>
      </w:r>
      <w:bookmarkStart w:id="2" w:name="_Toc76458928"/>
      <w:bookmarkStart w:id="3" w:name="_Toc76476744"/>
      <w:bookmarkStart w:id="4" w:name="_Toc75790562"/>
    </w:p>
    <w:p>
      <w:pPr>
        <w:pStyle w:val="19"/>
        <w:ind w:firstLine="636" w:firstLineChars="0"/>
        <w:outlineLvl w:val="0"/>
        <w:rPr>
          <w:rFonts w:ascii="黑体" w:hAnsi="黑体" w:eastAsia="黑体"/>
        </w:rPr>
      </w:pPr>
      <w:r>
        <w:rPr>
          <w:rFonts w:hint="eastAsia" w:ascii="黑体" w:hAnsi="黑体" w:eastAsia="黑体"/>
        </w:rPr>
        <w:t>一、部门基本情况</w:t>
      </w:r>
      <w:bookmarkEnd w:id="2"/>
      <w:bookmarkEnd w:id="3"/>
      <w:bookmarkEnd w:id="4"/>
      <w:bookmarkStart w:id="5" w:name="_Toc76476745"/>
      <w:bookmarkStart w:id="6" w:name="_Toc75790563"/>
      <w:bookmarkStart w:id="7" w:name="_Toc76458929"/>
    </w:p>
    <w:p>
      <w:pPr>
        <w:pStyle w:val="19"/>
        <w:ind w:firstLine="636" w:firstLineChars="0"/>
        <w:outlineLvl w:val="1"/>
        <w:rPr>
          <w:rFonts w:ascii="楷体" w:hAnsi="楷体" w:eastAsia="楷体" w:cs="楷体"/>
          <w:b/>
          <w:bCs/>
        </w:rPr>
      </w:pPr>
      <w:r>
        <w:rPr>
          <w:rFonts w:hint="eastAsia" w:ascii="楷体" w:hAnsi="楷体" w:eastAsia="楷体" w:cs="楷体"/>
          <w:b/>
          <w:bCs/>
        </w:rPr>
        <w:t>（一）部门概况</w:t>
      </w:r>
      <w:bookmarkEnd w:id="5"/>
      <w:bookmarkEnd w:id="6"/>
      <w:bookmarkEnd w:id="7"/>
    </w:p>
    <w:p>
      <w:pPr>
        <w:pStyle w:val="19"/>
        <w:ind w:firstLine="636" w:firstLineChars="0"/>
        <w:rPr>
          <w:rFonts w:hint="eastAsia" w:ascii="仿宋_GB2312" w:hAnsi="仿宋_GB2312" w:eastAsia="仿宋_GB2312" w:cs="仿宋_GB2312"/>
          <w:lang w:val="zh-CN"/>
        </w:rPr>
      </w:pPr>
      <w:r>
        <w:rPr>
          <w:rFonts w:hint="eastAsia" w:ascii="仿宋_GB2312" w:hAnsi="仿宋_GB2312" w:eastAsia="仿宋_GB2312" w:cs="仿宋_GB2312"/>
          <w:lang w:val="zh-CN"/>
        </w:rPr>
        <w:t>甘肃省人民代表大会是甘肃</w:t>
      </w:r>
      <w:r>
        <w:rPr>
          <w:rFonts w:hint="eastAsia" w:ascii="仿宋_GB2312" w:hAnsi="仿宋_GB2312" w:eastAsia="仿宋_GB2312" w:cs="仿宋_GB2312"/>
          <w:color w:val="000000" w:themeColor="text1"/>
          <w:lang w:val="zh-CN"/>
          <w14:textFill>
            <w14:solidFill>
              <w14:schemeClr w14:val="tx1"/>
            </w14:solidFill>
          </w14:textFill>
        </w:rPr>
        <w:t>省的最高国家权力机关。甘肃省人民代表大会常务委员会是甘肃省人民代表大会的常设机关，对甘肃省人民代表大会负责并报告工作</w:t>
      </w:r>
      <w:r>
        <w:rPr>
          <w:rFonts w:hint="eastAsia" w:ascii="仿宋_GB2312" w:hAnsi="仿宋_GB2312" w:eastAsia="仿宋_GB2312" w:cs="仿宋_GB2312"/>
          <w:lang w:val="zh-CN"/>
        </w:rPr>
        <w:t>。</w:t>
      </w:r>
    </w:p>
    <w:p>
      <w:pPr>
        <w:pStyle w:val="19"/>
        <w:ind w:firstLine="636" w:firstLineChars="0"/>
        <w:rPr>
          <w:rFonts w:ascii="仿宋_GB2312" w:hAnsi="仿宋_GB2312" w:cs="仿宋_GB2312"/>
          <w:b/>
          <w:bCs/>
        </w:rPr>
      </w:pPr>
      <w:r>
        <w:rPr>
          <w:rFonts w:hint="eastAsia" w:ascii="仿宋_GB2312" w:hAnsi="仿宋_GB2312" w:cs="仿宋_GB2312"/>
          <w:b/>
          <w:bCs/>
        </w:rPr>
        <w:t>1.部门职能</w:t>
      </w:r>
    </w:p>
    <w:p>
      <w:pPr>
        <w:pStyle w:val="19"/>
        <w:ind w:firstLine="636" w:firstLineChars="0"/>
        <w:rPr>
          <w:rFonts w:ascii="仿宋_GB2312" w:hAnsi="仿宋_GB2312" w:cs="仿宋_GB2312"/>
          <w:bCs/>
          <w:color w:val="000000"/>
          <w:sz w:val="19"/>
          <w:szCs w:val="19"/>
          <w:shd w:val="clear" w:color="auto" w:fill="FFFFFF"/>
        </w:rPr>
      </w:pPr>
      <w:r>
        <w:rPr>
          <w:rFonts w:hint="eastAsia" w:ascii="仿宋_GB2312" w:hAnsi="仿宋_GB2312" w:cs="仿宋_GB2312"/>
          <w:bCs/>
          <w:lang w:val="zh-CN"/>
        </w:rPr>
        <w:t>甘肃省人民代表大会常务委员会</w:t>
      </w:r>
      <w:r>
        <w:rPr>
          <w:rFonts w:hint="eastAsia" w:ascii="仿宋_GB2312" w:hAnsi="仿宋_GB2312" w:cs="仿宋_GB2312"/>
          <w:bCs/>
        </w:rPr>
        <w:t>主要</w:t>
      </w:r>
      <w:r>
        <w:rPr>
          <w:rFonts w:hint="eastAsia" w:ascii="仿宋_GB2312" w:hAnsi="仿宋_GB2312" w:cs="仿宋_GB2312"/>
          <w:bCs/>
          <w:lang w:val="zh-CN"/>
        </w:rPr>
        <w:t>行使职权</w:t>
      </w:r>
      <w:r>
        <w:rPr>
          <w:rFonts w:hint="eastAsia" w:ascii="仿宋_GB2312" w:hAnsi="仿宋_GB2312" w:cs="仿宋_GB2312"/>
          <w:bCs/>
        </w:rPr>
        <w:t>如下</w:t>
      </w:r>
      <w:r>
        <w:rPr>
          <w:rFonts w:hint="eastAsia" w:ascii="仿宋_GB2312" w:hAnsi="仿宋_GB2312" w:cs="仿宋_GB2312"/>
          <w:bCs/>
          <w:lang w:val="zh-CN"/>
        </w:rPr>
        <w:t>：代表大会及其常务委员会决议的遵守和执行；领导或者主持省人民代表大会代表的选举；召集省人民代表大会会议；根据本省行政在本省行政区域内，保证宪法、法律、行政法规和全国人民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pStyle w:val="19"/>
        <w:ind w:firstLine="636" w:firstLineChars="0"/>
        <w:rPr>
          <w:rFonts w:cs="Times New Roman"/>
          <w:b/>
          <w:bCs/>
        </w:rPr>
      </w:pPr>
      <w:r>
        <w:rPr>
          <w:rFonts w:hint="eastAsia" w:cs="Times New Roman"/>
          <w:b/>
          <w:bCs/>
        </w:rPr>
        <w:t>2.</w:t>
      </w:r>
      <w:r>
        <w:rPr>
          <w:rFonts w:cs="Times New Roman"/>
          <w:b/>
          <w:bCs/>
        </w:rPr>
        <w:t>各内设机构及下属单位</w:t>
      </w:r>
    </w:p>
    <w:p>
      <w:pPr>
        <w:pStyle w:val="19"/>
        <w:ind w:firstLine="636" w:firstLineChars="0"/>
      </w:pPr>
      <w:r>
        <w:rPr>
          <w:rFonts w:hint="eastAsia" w:cs="Times New Roman"/>
          <w:bCs/>
          <w:color w:val="000000" w:themeColor="text1"/>
          <w14:textFill>
            <w14:solidFill>
              <w14:schemeClr w14:val="tx1"/>
            </w14:solidFill>
          </w14:textFill>
        </w:rPr>
        <w:t>甘肃省人大常委会</w:t>
      </w:r>
      <w:r>
        <w:rPr>
          <w:rFonts w:hint="eastAsia" w:ascii="仿宋_GB2312" w:hAnsi="仿宋_GB2312" w:cs="仿宋_GB2312"/>
          <w:bCs/>
          <w:color w:val="000000" w:themeColor="text1"/>
          <w:lang w:val="zh-CN"/>
          <w14:textFill>
            <w14:solidFill>
              <w14:schemeClr w14:val="tx1"/>
            </w14:solidFill>
          </w14:textFill>
        </w:rPr>
        <w:t>机关内设机构11个，分别为：办公厅</w:t>
      </w:r>
      <w:r>
        <w:rPr>
          <w:rFonts w:hint="eastAsia" w:ascii="仿宋_GB2312" w:hAnsi="仿宋_GB2312" w:cs="仿宋_GB2312"/>
          <w:bCs/>
          <w:lang w:val="zh-CN"/>
        </w:rPr>
        <w:t>、研究室、法制工作委员会、代表人事工作委员会、民族侨务工作委员会、监察和司法工作委员会、财经预算工作委员会、农业与农村工作委员会、教科文卫工作委员会、环境资源保护工作委员会、社会建设工作委员会。内设二级机构（处室）32个，分别为：办公厅秘书处、综合处、人事处、文档处、信访室（加挂省人大常委会机关总值班室牌子）、老干部工作处、行政保卫处、接待处、宣传信息处；研究室综合处、调查研究处；代表工作委员会综合处、代表联络处、选举任免处、议案督查处；法制工作委员会综合处、法规一处、法规二处、备案审查处；民族侨务工作委员会综合处、法规处；监察和司法工作委员会综合处、司法监督处；财经预算工作委员会综合处、预算审查监督处；农业与农村工作委员会综合处、农业监督处；教科文卫工作委员会综合处、教科文卫处；环境资源保护工作委员会综合处、环境保护监督处；社会建设工作委员会综合处、社会监督处。</w:t>
      </w:r>
    </w:p>
    <w:p>
      <w:pPr>
        <w:ind w:firstLine="681"/>
        <w:rPr>
          <w:rFonts w:ascii="仿宋_GB2312" w:hAnsi="仿宋_GB2312" w:eastAsia="仿宋_GB2312" w:cs="仿宋_GB2312"/>
          <w:bCs/>
          <w:kern w:val="0"/>
          <w:sz w:val="32"/>
          <w:szCs w:val="32"/>
          <w:lang w:val="zh-CN"/>
        </w:rPr>
      </w:pPr>
      <w:r>
        <w:rPr>
          <w:rFonts w:hint="eastAsia" w:ascii="仿宋_GB2312" w:hAnsi="仿宋_GB2312" w:eastAsia="仿宋_GB2312" w:cs="仿宋_GB2312"/>
          <w:bCs/>
          <w:kern w:val="0"/>
          <w:sz w:val="32"/>
          <w:szCs w:val="32"/>
          <w:lang w:val="zh-CN"/>
        </w:rPr>
        <w:t>直属事业单位</w:t>
      </w: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4个，分别为：甘肃省人大常委会《人民之声》报社，县处级级别，全额拨款事业单位；甘肃省人大常委会《人大研究》杂志社，县处级级别，全额拨款事业单位；甘肃省人大常委会机关后勤服务中心，县处级级别，全额拨款事业单位；甘肃省人大</w:t>
      </w:r>
      <w:r>
        <w:rPr>
          <w:rFonts w:hint="eastAsia" w:ascii="仿宋_GB2312" w:hAnsi="仿宋_GB2312" w:eastAsia="仿宋_GB2312" w:cs="仿宋_GB2312"/>
          <w:bCs/>
          <w:kern w:val="0"/>
          <w:sz w:val="32"/>
          <w:szCs w:val="32"/>
          <w:lang w:val="zh-CN"/>
        </w:rPr>
        <w:t>常委会机关信息中心，县处级级别，全额拨款事业单位。</w:t>
      </w:r>
    </w:p>
    <w:p>
      <w:pPr>
        <w:ind w:firstLine="681"/>
        <w:rPr>
          <w:rFonts w:ascii="仿宋" w:hAnsi="仿宋" w:eastAsia="仿宋"/>
          <w:b/>
          <w:bCs/>
          <w:kern w:val="0"/>
          <w:sz w:val="32"/>
          <w:szCs w:val="32"/>
        </w:rPr>
      </w:pPr>
      <w:r>
        <w:rPr>
          <w:rFonts w:hint="eastAsia" w:ascii="仿宋_GB2312" w:hAnsi="仿宋_GB2312" w:eastAsia="仿宋_GB2312" w:cs="仿宋_GB2312"/>
          <w:b/>
          <w:bCs/>
          <w:kern w:val="0"/>
          <w:sz w:val="32"/>
          <w:szCs w:val="32"/>
        </w:rPr>
        <w:t>3.人员编制情况</w:t>
      </w:r>
    </w:p>
    <w:p>
      <w:pPr>
        <w:pStyle w:val="19"/>
      </w:pPr>
      <w:r>
        <w:rPr>
          <w:rFonts w:hint="eastAsia"/>
        </w:rPr>
        <w:t>根据中共甘肃省委关于印发《甘肃省人大常委会机关机构改革方案》的通知（省委发〔</w:t>
      </w:r>
      <w:r>
        <w:t>2002〕72号），甘肃省人大常委会机</w:t>
      </w:r>
      <w:r>
        <w:rPr>
          <w:rFonts w:hint="eastAsia"/>
        </w:rPr>
        <w:t>关编制334</w:t>
      </w:r>
      <w:r>
        <w:t>人</w:t>
      </w:r>
      <w:r>
        <w:rPr>
          <w:rFonts w:hint="eastAsia"/>
        </w:rPr>
        <w:t>（其中行政编制287人、事业编制47人）</w:t>
      </w:r>
      <w:r>
        <w:t>。截止2020年12月31日，实有在职人员</w:t>
      </w:r>
      <w:r>
        <w:rPr>
          <w:rFonts w:hint="eastAsia"/>
        </w:rPr>
        <w:t>288</w:t>
      </w:r>
      <w:r>
        <w:t>人</w:t>
      </w:r>
      <w:r>
        <w:rPr>
          <w:rFonts w:hint="eastAsia"/>
        </w:rPr>
        <w:t>（其中行政编制252人，事业编制36人）</w:t>
      </w:r>
      <w:bookmarkStart w:id="8" w:name="_Toc75788742"/>
      <w:r>
        <w:rPr>
          <w:rFonts w:hint="eastAsia"/>
        </w:rPr>
        <w:t>。</w:t>
      </w:r>
    </w:p>
    <w:p>
      <w:pPr>
        <w:pStyle w:val="19"/>
        <w:ind w:firstLine="643"/>
        <w:rPr>
          <w:rFonts w:ascii="仿宋_GB2312" w:hAnsi="仿宋_GB2312" w:cs="仿宋_GB2312"/>
          <w:b/>
          <w:bCs/>
        </w:rPr>
      </w:pPr>
      <w:r>
        <w:rPr>
          <w:rFonts w:hint="eastAsia" w:ascii="仿宋_GB2312" w:hAnsi="仿宋_GB2312" w:cs="仿宋_GB2312"/>
          <w:b/>
          <w:bCs/>
        </w:rPr>
        <w:t>4.资产情况</w:t>
      </w:r>
      <w:bookmarkEnd w:id="8"/>
    </w:p>
    <w:p>
      <w:pPr>
        <w:pStyle w:val="19"/>
        <w:ind w:firstLine="636" w:firstLineChars="0"/>
      </w:pPr>
      <w:r>
        <w:rPr>
          <w:rFonts w:hint="eastAsia"/>
        </w:rPr>
        <w:t>资产包括固定资产、无形资产。截止</w:t>
      </w:r>
      <w:r>
        <w:t>2020年无形资产年末数382.88万元、固定资产年末数16721.18万元；2020年新增固定资产数946件，742.15万元、新增无形资产23件，90.61万元。</w:t>
      </w:r>
      <w:bookmarkStart w:id="9" w:name="_Toc75788743"/>
    </w:p>
    <w:p>
      <w:pPr>
        <w:pStyle w:val="19"/>
        <w:ind w:firstLine="636" w:firstLineChars="0"/>
        <w:rPr>
          <w:b/>
        </w:rPr>
      </w:pPr>
      <w:r>
        <w:rPr>
          <w:rFonts w:hint="eastAsia" w:ascii="仿宋_GB2312" w:hAnsi="仿宋_GB2312" w:cs="仿宋_GB2312"/>
          <w:b/>
        </w:rPr>
        <w:t>5.部门预算安排及支出情况</w:t>
      </w:r>
      <w:bookmarkEnd w:id="9"/>
    </w:p>
    <w:p>
      <w:pPr>
        <w:pStyle w:val="19"/>
      </w:pPr>
      <w:r>
        <w:rPr>
          <w:rFonts w:hint="eastAsia"/>
        </w:rPr>
        <w:t>甘肃省人民代表大会常务委员会部门经费以财政拨款为主。实行“统一领导、集中核算、分级管理”的财务管理体制，经费收入主要来自甘肃省财政拨款。</w:t>
      </w:r>
      <w:r>
        <w:t>20</w:t>
      </w:r>
      <w:r>
        <w:rPr>
          <w:rFonts w:hint="eastAsia"/>
        </w:rPr>
        <w:t>20</w:t>
      </w:r>
      <w:r>
        <w:t>年</w:t>
      </w:r>
      <w:r>
        <w:rPr>
          <w:rFonts w:hint="eastAsia"/>
        </w:rPr>
        <w:t>，</w:t>
      </w:r>
      <w:r>
        <w:t>甘肃省人民代表大会常务委员会</w:t>
      </w:r>
      <w:r>
        <w:rPr>
          <w:rFonts w:hint="eastAsia"/>
        </w:rPr>
        <w:t>办公厅</w:t>
      </w:r>
      <w:r>
        <w:t>部门预算总额11396.49万元万元，其中：一般公共预算财政拨款收入9584.58万元、事业收入163.28万元、上年结转1648.63万元；调整后预算总额为12037.99万元，其中：一般公共预算财政拨款收入10134.21万元、事业收入163.28万元、</w:t>
      </w:r>
      <w:r>
        <w:rPr>
          <w:rFonts w:hint="eastAsia"/>
        </w:rPr>
        <w:t>其他收入</w:t>
      </w:r>
      <w:r>
        <w:t>91.86</w:t>
      </w:r>
      <w:r>
        <w:rPr>
          <w:rFonts w:hint="eastAsia"/>
        </w:rPr>
        <w:t>万元、</w:t>
      </w:r>
      <w:r>
        <w:t>上年结转1648.63万元。具体详见表1-1。</w:t>
      </w:r>
    </w:p>
    <w:p>
      <w:pPr>
        <w:pStyle w:val="37"/>
      </w:pPr>
      <w:r>
        <w:rPr>
          <w:rFonts w:hint="eastAsia"/>
        </w:rPr>
        <w:t>表</w:t>
      </w:r>
      <w:r>
        <w:t>1-1甘肃省人民代表大会常务委员会财政拨款收入汇总表</w:t>
      </w:r>
    </w:p>
    <w:p>
      <w:pPr>
        <w:pStyle w:val="37"/>
        <w:jc w:val="right"/>
      </w:pPr>
      <w:r>
        <w:rPr>
          <w:rFonts w:hint="eastAsia"/>
        </w:rPr>
        <w:t>单位：万元</w:t>
      </w:r>
    </w:p>
    <w:tbl>
      <w:tblPr>
        <w:tblStyle w:val="17"/>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1718"/>
        <w:gridCol w:w="1574"/>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blHeader/>
          <w:jc w:val="center"/>
        </w:trPr>
        <w:tc>
          <w:tcPr>
            <w:tcW w:w="3436" w:type="dxa"/>
            <w:shd w:val="clear" w:color="auto" w:fill="auto"/>
            <w:vAlign w:val="center"/>
          </w:tcPr>
          <w:p>
            <w:pPr>
              <w:pStyle w:val="37"/>
              <w:rPr>
                <w:b/>
                <w:bCs/>
              </w:rPr>
            </w:pPr>
            <w:r>
              <w:rPr>
                <w:b/>
                <w:bCs/>
              </w:rPr>
              <w:t>科目名称</w:t>
            </w:r>
          </w:p>
        </w:tc>
        <w:tc>
          <w:tcPr>
            <w:tcW w:w="1718" w:type="dxa"/>
            <w:shd w:val="clear" w:color="auto" w:fill="auto"/>
            <w:vAlign w:val="center"/>
          </w:tcPr>
          <w:p>
            <w:pPr>
              <w:pStyle w:val="37"/>
              <w:rPr>
                <w:b/>
                <w:bCs/>
              </w:rPr>
            </w:pPr>
            <w:r>
              <w:rPr>
                <w:b/>
                <w:bCs/>
              </w:rPr>
              <w:t>预算</w:t>
            </w:r>
            <w:r>
              <w:rPr>
                <w:rFonts w:hint="eastAsia"/>
                <w:b/>
                <w:bCs/>
              </w:rPr>
              <w:t>数</w:t>
            </w:r>
          </w:p>
        </w:tc>
        <w:tc>
          <w:tcPr>
            <w:tcW w:w="1574" w:type="dxa"/>
            <w:shd w:val="clear" w:color="auto" w:fill="auto"/>
            <w:vAlign w:val="center"/>
          </w:tcPr>
          <w:p>
            <w:pPr>
              <w:pStyle w:val="37"/>
              <w:rPr>
                <w:b/>
                <w:bCs/>
              </w:rPr>
            </w:pPr>
            <w:r>
              <w:rPr>
                <w:b/>
                <w:bCs/>
              </w:rPr>
              <w:t>调整后预算</w:t>
            </w:r>
          </w:p>
        </w:tc>
        <w:tc>
          <w:tcPr>
            <w:tcW w:w="1626" w:type="dxa"/>
            <w:shd w:val="clear" w:color="auto" w:fill="auto"/>
            <w:vAlign w:val="center"/>
          </w:tcPr>
          <w:p>
            <w:pPr>
              <w:pStyle w:val="37"/>
              <w:rPr>
                <w:b/>
                <w:bCs/>
              </w:rPr>
            </w:pPr>
            <w:r>
              <w:rPr>
                <w:b/>
                <w:bCs/>
              </w:rPr>
              <w:t>决算</w:t>
            </w:r>
            <w:r>
              <w:rPr>
                <w:rFonts w:hint="eastAsia"/>
                <w:b/>
                <w:bCs/>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436" w:type="dxa"/>
            <w:vAlign w:val="center"/>
          </w:tcPr>
          <w:p>
            <w:pPr>
              <w:pStyle w:val="37"/>
            </w:pPr>
            <w:r>
              <w:rPr>
                <w:rFonts w:hint="eastAsia"/>
              </w:rPr>
              <w:t>一般公共预算财政拨款收入</w:t>
            </w:r>
          </w:p>
        </w:tc>
        <w:tc>
          <w:tcPr>
            <w:tcW w:w="1718" w:type="dxa"/>
            <w:vAlign w:val="center"/>
          </w:tcPr>
          <w:p>
            <w:pPr>
              <w:pStyle w:val="37"/>
              <w:rPr>
                <w:highlight w:val="yellow"/>
              </w:rPr>
            </w:pPr>
            <w:r>
              <w:t>9584</w:t>
            </w:r>
            <w:r>
              <w:rPr>
                <w:rFonts w:hint="eastAsia"/>
              </w:rPr>
              <w:t>.</w:t>
            </w:r>
            <w:r>
              <w:t>58</w:t>
            </w:r>
          </w:p>
        </w:tc>
        <w:tc>
          <w:tcPr>
            <w:tcW w:w="1574" w:type="dxa"/>
            <w:vAlign w:val="center"/>
          </w:tcPr>
          <w:p>
            <w:pPr>
              <w:pStyle w:val="37"/>
              <w:rPr>
                <w:highlight w:val="yellow"/>
              </w:rPr>
            </w:pPr>
            <w:r>
              <w:t>10134</w:t>
            </w:r>
            <w:r>
              <w:rPr>
                <w:rFonts w:hint="eastAsia"/>
              </w:rPr>
              <w:t>.</w:t>
            </w:r>
            <w:r>
              <w:t>21</w:t>
            </w:r>
          </w:p>
        </w:tc>
        <w:tc>
          <w:tcPr>
            <w:tcW w:w="1626" w:type="dxa"/>
            <w:vAlign w:val="center"/>
          </w:tcPr>
          <w:p>
            <w:pPr>
              <w:pStyle w:val="37"/>
              <w:rPr>
                <w:highlight w:val="yellow"/>
              </w:rPr>
            </w:pPr>
            <w:r>
              <w:t>10134.21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436" w:type="dxa"/>
            <w:vAlign w:val="center"/>
          </w:tcPr>
          <w:p>
            <w:pPr>
              <w:pStyle w:val="37"/>
            </w:pPr>
            <w:r>
              <w:rPr>
                <w:rFonts w:hint="eastAsia"/>
              </w:rPr>
              <w:t>事业收入</w:t>
            </w:r>
          </w:p>
        </w:tc>
        <w:tc>
          <w:tcPr>
            <w:tcW w:w="1718" w:type="dxa"/>
            <w:vAlign w:val="center"/>
          </w:tcPr>
          <w:p>
            <w:pPr>
              <w:pStyle w:val="37"/>
              <w:rPr>
                <w:highlight w:val="yellow"/>
              </w:rPr>
            </w:pPr>
            <w:r>
              <w:t>163.28</w:t>
            </w:r>
          </w:p>
        </w:tc>
        <w:tc>
          <w:tcPr>
            <w:tcW w:w="1574" w:type="dxa"/>
            <w:vAlign w:val="center"/>
          </w:tcPr>
          <w:p>
            <w:pPr>
              <w:pStyle w:val="37"/>
              <w:rPr>
                <w:highlight w:val="yellow"/>
              </w:rPr>
            </w:pPr>
            <w:r>
              <w:t>163.28</w:t>
            </w:r>
          </w:p>
        </w:tc>
        <w:tc>
          <w:tcPr>
            <w:tcW w:w="1626" w:type="dxa"/>
            <w:vAlign w:val="center"/>
          </w:tcPr>
          <w:p>
            <w:pPr>
              <w:pStyle w:val="37"/>
              <w:rPr>
                <w:highlight w:val="yellow"/>
              </w:rPr>
            </w:pPr>
            <w:r>
              <w:t>163.28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436" w:type="dxa"/>
            <w:vAlign w:val="center"/>
          </w:tcPr>
          <w:p>
            <w:pPr>
              <w:pStyle w:val="37"/>
            </w:pPr>
            <w:bookmarkStart w:id="10" w:name="_Hlk76407815"/>
            <w:r>
              <w:rPr>
                <w:rFonts w:hint="eastAsia"/>
              </w:rPr>
              <w:t>其他收入</w:t>
            </w:r>
            <w:bookmarkEnd w:id="10"/>
          </w:p>
        </w:tc>
        <w:tc>
          <w:tcPr>
            <w:tcW w:w="1718" w:type="dxa"/>
            <w:vAlign w:val="center"/>
          </w:tcPr>
          <w:p>
            <w:pPr>
              <w:pStyle w:val="37"/>
            </w:pPr>
            <w:r>
              <w:rPr>
                <w:rFonts w:hint="eastAsia"/>
              </w:rPr>
              <w:t>-</w:t>
            </w:r>
          </w:p>
        </w:tc>
        <w:tc>
          <w:tcPr>
            <w:tcW w:w="1574" w:type="dxa"/>
            <w:vAlign w:val="center"/>
          </w:tcPr>
          <w:p>
            <w:pPr>
              <w:pStyle w:val="37"/>
            </w:pPr>
            <w:r>
              <w:t>91.86</w:t>
            </w:r>
          </w:p>
        </w:tc>
        <w:tc>
          <w:tcPr>
            <w:tcW w:w="1626" w:type="dxa"/>
            <w:vAlign w:val="center"/>
          </w:tcPr>
          <w:p>
            <w:pPr>
              <w:pStyle w:val="37"/>
              <w:rPr>
                <w:highlight w:val="yellow"/>
              </w:rPr>
            </w:pPr>
            <w:r>
              <w:t>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436" w:type="dxa"/>
            <w:vAlign w:val="center"/>
          </w:tcPr>
          <w:p>
            <w:pPr>
              <w:pStyle w:val="37"/>
            </w:pPr>
            <w:r>
              <w:t>结余资金</w:t>
            </w:r>
          </w:p>
        </w:tc>
        <w:tc>
          <w:tcPr>
            <w:tcW w:w="1718" w:type="dxa"/>
            <w:vAlign w:val="center"/>
          </w:tcPr>
          <w:p>
            <w:pPr>
              <w:pStyle w:val="37"/>
              <w:rPr>
                <w:highlight w:val="yellow"/>
              </w:rPr>
            </w:pPr>
            <w:r>
              <w:t>1648.63</w:t>
            </w:r>
          </w:p>
        </w:tc>
        <w:tc>
          <w:tcPr>
            <w:tcW w:w="1574" w:type="dxa"/>
            <w:vAlign w:val="center"/>
          </w:tcPr>
          <w:p>
            <w:pPr>
              <w:pStyle w:val="37"/>
              <w:rPr>
                <w:highlight w:val="yellow"/>
              </w:rPr>
            </w:pPr>
            <w:r>
              <w:t>1648.63</w:t>
            </w:r>
          </w:p>
        </w:tc>
        <w:tc>
          <w:tcPr>
            <w:tcW w:w="1626" w:type="dxa"/>
            <w:vAlign w:val="center"/>
          </w:tcPr>
          <w:p>
            <w:pPr>
              <w:pStyle w:val="37"/>
              <w:rPr>
                <w:highlight w:val="yellow"/>
              </w:rPr>
            </w:pPr>
            <w:r>
              <w:t>1648.63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436" w:type="dxa"/>
            <w:vAlign w:val="center"/>
          </w:tcPr>
          <w:p>
            <w:pPr>
              <w:pStyle w:val="37"/>
            </w:pPr>
            <w:r>
              <w:rPr>
                <w:rFonts w:hint="eastAsia"/>
              </w:rPr>
              <w:t>总</w:t>
            </w:r>
            <w:r>
              <w:t>计</w:t>
            </w:r>
          </w:p>
        </w:tc>
        <w:tc>
          <w:tcPr>
            <w:tcW w:w="1718" w:type="dxa"/>
            <w:vAlign w:val="center"/>
          </w:tcPr>
          <w:p>
            <w:pPr>
              <w:pStyle w:val="37"/>
              <w:rPr>
                <w:highlight w:val="yellow"/>
              </w:rPr>
            </w:pPr>
            <w:r>
              <w:t>11396.49</w:t>
            </w:r>
          </w:p>
        </w:tc>
        <w:tc>
          <w:tcPr>
            <w:tcW w:w="1574" w:type="dxa"/>
            <w:vAlign w:val="center"/>
          </w:tcPr>
          <w:p>
            <w:pPr>
              <w:pStyle w:val="37"/>
              <w:rPr>
                <w:highlight w:val="yellow"/>
              </w:rPr>
            </w:pPr>
            <w:r>
              <w:t>12037.99</w:t>
            </w:r>
          </w:p>
        </w:tc>
        <w:tc>
          <w:tcPr>
            <w:tcW w:w="1626" w:type="dxa"/>
            <w:vAlign w:val="center"/>
          </w:tcPr>
          <w:p>
            <w:pPr>
              <w:pStyle w:val="37"/>
              <w:rPr>
                <w:highlight w:val="yellow"/>
              </w:rPr>
            </w:pPr>
            <w:r>
              <w:t>12037.99</w:t>
            </w:r>
          </w:p>
        </w:tc>
      </w:tr>
    </w:tbl>
    <w:p>
      <w:pPr>
        <w:pStyle w:val="37"/>
        <w:rPr>
          <w:highlight w:val="yellow"/>
        </w:rPr>
      </w:pPr>
    </w:p>
    <w:p>
      <w:pPr>
        <w:pStyle w:val="19"/>
      </w:pPr>
      <w:r>
        <w:t>2020年</w:t>
      </w:r>
      <w:bookmarkStart w:id="11" w:name="_Hlk76391125"/>
      <w:r>
        <w:t>甘肃省人民代表大会常务委员会</w:t>
      </w:r>
      <w:r>
        <w:rPr>
          <w:rFonts w:hint="eastAsia"/>
        </w:rPr>
        <w:t>办公厅</w:t>
      </w:r>
      <w:bookmarkEnd w:id="11"/>
      <w:r>
        <w:t>部门实际支出为12037.99万元（包括基本支出和项目支出），2020年年末结余资金1,553.38万元，2020年甘肃人民代表大会常务委员会部门整体支出资金使用率为87.10%。具体详见表1-2。</w:t>
      </w:r>
    </w:p>
    <w:p>
      <w:pPr>
        <w:pStyle w:val="37"/>
      </w:pPr>
      <w:r>
        <w:rPr>
          <w:rFonts w:hint="eastAsia"/>
        </w:rPr>
        <w:t>表1-2 甘肃省人民代表大会常务委员会</w:t>
      </w:r>
      <w:r>
        <w:t>财政拨款支出汇总表</w:t>
      </w:r>
    </w:p>
    <w:p>
      <w:pPr>
        <w:pStyle w:val="37"/>
        <w:jc w:val="right"/>
      </w:pPr>
      <w:r>
        <w:t>单位：万元</w:t>
      </w:r>
    </w:p>
    <w:tbl>
      <w:tblPr>
        <w:tblStyle w:val="17"/>
        <w:tblW w:w="8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716"/>
        <w:gridCol w:w="1832"/>
        <w:gridCol w:w="171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10" w:type="dxa"/>
            <w:shd w:val="clear" w:color="auto" w:fill="auto"/>
            <w:vAlign w:val="center"/>
          </w:tcPr>
          <w:p>
            <w:pPr>
              <w:pStyle w:val="37"/>
              <w:rPr>
                <w:b/>
                <w:bCs/>
              </w:rPr>
            </w:pPr>
            <w:r>
              <w:rPr>
                <w:b/>
                <w:bCs/>
              </w:rPr>
              <w:t>科目名称</w:t>
            </w:r>
          </w:p>
        </w:tc>
        <w:tc>
          <w:tcPr>
            <w:tcW w:w="1716" w:type="dxa"/>
            <w:shd w:val="clear" w:color="auto" w:fill="auto"/>
            <w:vAlign w:val="center"/>
          </w:tcPr>
          <w:p>
            <w:pPr>
              <w:pStyle w:val="37"/>
              <w:rPr>
                <w:b/>
                <w:bCs/>
              </w:rPr>
            </w:pPr>
            <w:r>
              <w:rPr>
                <w:b/>
                <w:bCs/>
              </w:rPr>
              <w:t>年初预算</w:t>
            </w:r>
          </w:p>
        </w:tc>
        <w:tc>
          <w:tcPr>
            <w:tcW w:w="1832" w:type="dxa"/>
            <w:shd w:val="clear" w:color="auto" w:fill="auto"/>
            <w:vAlign w:val="center"/>
          </w:tcPr>
          <w:p>
            <w:pPr>
              <w:pStyle w:val="37"/>
              <w:rPr>
                <w:b/>
                <w:bCs/>
              </w:rPr>
            </w:pPr>
            <w:r>
              <w:rPr>
                <w:b/>
                <w:bCs/>
              </w:rPr>
              <w:t>调整后预算</w:t>
            </w:r>
          </w:p>
        </w:tc>
        <w:tc>
          <w:tcPr>
            <w:tcW w:w="1711" w:type="dxa"/>
            <w:shd w:val="clear" w:color="auto" w:fill="auto"/>
            <w:vAlign w:val="center"/>
          </w:tcPr>
          <w:p>
            <w:pPr>
              <w:pStyle w:val="37"/>
              <w:rPr>
                <w:b/>
                <w:bCs/>
              </w:rPr>
            </w:pPr>
            <w:r>
              <w:rPr>
                <w:b/>
                <w:bCs/>
              </w:rPr>
              <w:t>年末决算</w:t>
            </w:r>
          </w:p>
        </w:tc>
        <w:tc>
          <w:tcPr>
            <w:tcW w:w="1486" w:type="dxa"/>
            <w:shd w:val="clear" w:color="auto" w:fill="auto"/>
            <w:vAlign w:val="center"/>
          </w:tcPr>
          <w:p>
            <w:pPr>
              <w:pStyle w:val="37"/>
              <w:rPr>
                <w:b/>
                <w:bCs/>
              </w:rPr>
            </w:pPr>
            <w:r>
              <w:rPr>
                <w:b/>
                <w:bCs/>
              </w:rPr>
              <w:t>资金使用率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10" w:type="dxa"/>
            <w:vAlign w:val="center"/>
          </w:tcPr>
          <w:p>
            <w:pPr>
              <w:pStyle w:val="37"/>
            </w:pPr>
            <w:r>
              <w:t>基本支出</w:t>
            </w:r>
          </w:p>
        </w:tc>
        <w:tc>
          <w:tcPr>
            <w:tcW w:w="1716" w:type="dxa"/>
            <w:vAlign w:val="center"/>
          </w:tcPr>
          <w:p>
            <w:pPr>
              <w:pStyle w:val="37"/>
            </w:pPr>
            <w:r>
              <w:t>5997</w:t>
            </w:r>
            <w:r>
              <w:rPr>
                <w:rFonts w:hint="eastAsia"/>
              </w:rPr>
              <w:t>.</w:t>
            </w:r>
            <w:r>
              <w:t>95</w:t>
            </w:r>
          </w:p>
        </w:tc>
        <w:tc>
          <w:tcPr>
            <w:tcW w:w="1832" w:type="dxa"/>
            <w:vAlign w:val="center"/>
          </w:tcPr>
          <w:p>
            <w:pPr>
              <w:pStyle w:val="37"/>
            </w:pPr>
            <w:r>
              <w:t>7285.45</w:t>
            </w:r>
          </w:p>
        </w:tc>
        <w:tc>
          <w:tcPr>
            <w:tcW w:w="1711" w:type="dxa"/>
            <w:vAlign w:val="center"/>
          </w:tcPr>
          <w:p>
            <w:pPr>
              <w:pStyle w:val="37"/>
            </w:pPr>
            <w:r>
              <w:t>7285.45</w:t>
            </w:r>
          </w:p>
        </w:tc>
        <w:tc>
          <w:tcPr>
            <w:tcW w:w="1486" w:type="dxa"/>
            <w:vAlign w:val="center"/>
          </w:tcPr>
          <w:p>
            <w:pPr>
              <w:pStyle w:val="3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10" w:type="dxa"/>
            <w:vAlign w:val="center"/>
          </w:tcPr>
          <w:p>
            <w:pPr>
              <w:pStyle w:val="37"/>
            </w:pPr>
            <w:r>
              <w:t>项目支出</w:t>
            </w:r>
          </w:p>
        </w:tc>
        <w:tc>
          <w:tcPr>
            <w:tcW w:w="1716" w:type="dxa"/>
            <w:vAlign w:val="center"/>
          </w:tcPr>
          <w:p>
            <w:pPr>
              <w:pStyle w:val="37"/>
            </w:pPr>
            <w:r>
              <w:t>3734.8</w:t>
            </w:r>
          </w:p>
        </w:tc>
        <w:tc>
          <w:tcPr>
            <w:tcW w:w="1832" w:type="dxa"/>
            <w:vAlign w:val="center"/>
          </w:tcPr>
          <w:p>
            <w:pPr>
              <w:pStyle w:val="37"/>
            </w:pPr>
            <w:r>
              <w:t>3199.16</w:t>
            </w:r>
          </w:p>
        </w:tc>
        <w:tc>
          <w:tcPr>
            <w:tcW w:w="1711" w:type="dxa"/>
            <w:vAlign w:val="center"/>
          </w:tcPr>
          <w:p>
            <w:pPr>
              <w:pStyle w:val="37"/>
            </w:pPr>
            <w:r>
              <w:t>3199.16</w:t>
            </w:r>
          </w:p>
        </w:tc>
        <w:tc>
          <w:tcPr>
            <w:tcW w:w="1486" w:type="dxa"/>
            <w:vAlign w:val="center"/>
          </w:tcPr>
          <w:p>
            <w:pPr>
              <w:pStyle w:val="3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10" w:type="dxa"/>
            <w:vAlign w:val="center"/>
          </w:tcPr>
          <w:p>
            <w:pPr>
              <w:pStyle w:val="37"/>
            </w:pPr>
            <w:r>
              <w:t>结余资金</w:t>
            </w:r>
          </w:p>
        </w:tc>
        <w:tc>
          <w:tcPr>
            <w:tcW w:w="1716" w:type="dxa"/>
            <w:vAlign w:val="center"/>
          </w:tcPr>
          <w:p>
            <w:pPr>
              <w:pStyle w:val="37"/>
            </w:pPr>
            <w:r>
              <w:t>1663.75</w:t>
            </w:r>
          </w:p>
        </w:tc>
        <w:tc>
          <w:tcPr>
            <w:tcW w:w="1832" w:type="dxa"/>
            <w:vAlign w:val="center"/>
          </w:tcPr>
          <w:p>
            <w:pPr>
              <w:pStyle w:val="37"/>
            </w:pPr>
            <w:r>
              <w:t>1553.38</w:t>
            </w:r>
          </w:p>
        </w:tc>
        <w:tc>
          <w:tcPr>
            <w:tcW w:w="1711" w:type="dxa"/>
            <w:vAlign w:val="center"/>
          </w:tcPr>
          <w:p>
            <w:pPr>
              <w:pStyle w:val="37"/>
            </w:pPr>
            <w:r>
              <w:t>1553.38</w:t>
            </w:r>
          </w:p>
        </w:tc>
        <w:tc>
          <w:tcPr>
            <w:tcW w:w="1486" w:type="dxa"/>
            <w:vAlign w:val="center"/>
          </w:tcPr>
          <w:p>
            <w:pPr>
              <w:pStyle w:val="3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10" w:type="dxa"/>
            <w:vAlign w:val="center"/>
          </w:tcPr>
          <w:p>
            <w:pPr>
              <w:pStyle w:val="37"/>
            </w:pPr>
            <w:r>
              <w:t>合计</w:t>
            </w:r>
          </w:p>
        </w:tc>
        <w:tc>
          <w:tcPr>
            <w:tcW w:w="1716" w:type="dxa"/>
            <w:vAlign w:val="center"/>
          </w:tcPr>
          <w:p>
            <w:pPr>
              <w:pStyle w:val="37"/>
            </w:pPr>
            <w:r>
              <w:t>11396.5</w:t>
            </w:r>
          </w:p>
        </w:tc>
        <w:tc>
          <w:tcPr>
            <w:tcW w:w="1832" w:type="dxa"/>
            <w:vAlign w:val="center"/>
          </w:tcPr>
          <w:p>
            <w:pPr>
              <w:pStyle w:val="37"/>
            </w:pPr>
            <w:r>
              <w:t>12037.99</w:t>
            </w:r>
          </w:p>
        </w:tc>
        <w:tc>
          <w:tcPr>
            <w:tcW w:w="1711" w:type="dxa"/>
            <w:vAlign w:val="center"/>
          </w:tcPr>
          <w:p>
            <w:pPr>
              <w:pStyle w:val="37"/>
            </w:pPr>
            <w:r>
              <w:t>12037.99</w:t>
            </w:r>
          </w:p>
        </w:tc>
        <w:tc>
          <w:tcPr>
            <w:tcW w:w="1486" w:type="dxa"/>
            <w:vAlign w:val="center"/>
          </w:tcPr>
          <w:p>
            <w:pPr>
              <w:pStyle w:val="37"/>
            </w:pPr>
            <w:r>
              <w:rPr>
                <w:rFonts w:hint="eastAsia"/>
              </w:rPr>
              <w:t>8</w:t>
            </w:r>
            <w:r>
              <w:t>7.10%</w:t>
            </w:r>
          </w:p>
        </w:tc>
      </w:tr>
    </w:tbl>
    <w:p>
      <w:pPr>
        <w:pStyle w:val="37"/>
      </w:pPr>
    </w:p>
    <w:p>
      <w:pPr>
        <w:pStyle w:val="27"/>
        <w:numPr>
          <w:ilvl w:val="0"/>
          <w:numId w:val="0"/>
        </w:numPr>
        <w:ind w:left="567"/>
      </w:pPr>
      <w:bookmarkStart w:id="12" w:name="_Toc75788744"/>
      <w:r>
        <w:rPr>
          <w:rFonts w:hint="eastAsia"/>
        </w:rPr>
        <w:t>（1）</w:t>
      </w:r>
      <w:r>
        <w:t>基本支出情况</w:t>
      </w:r>
      <w:bookmarkEnd w:id="12"/>
    </w:p>
    <w:p>
      <w:pPr>
        <w:pStyle w:val="19"/>
      </w:pPr>
      <w:r>
        <w:t>2020年甘肃省人民代表大会常务委员会办公厅部门预算中基本支出7285.45万元，其中人员经费支出5070.72万元，日常公用经费支出2214.73万元。资金情况具体详见表1-3。</w:t>
      </w:r>
    </w:p>
    <w:p>
      <w:pPr>
        <w:pStyle w:val="37"/>
      </w:pPr>
      <w:r>
        <w:rPr>
          <w:rFonts w:hint="eastAsia"/>
        </w:rPr>
        <w:t>表</w:t>
      </w:r>
      <w:r>
        <w:t>1-</w:t>
      </w:r>
      <w:r>
        <w:rPr>
          <w:rFonts w:hint="eastAsia"/>
        </w:rPr>
        <w:t>3</w:t>
      </w:r>
      <w:r>
        <w:t xml:space="preserve"> 20</w:t>
      </w:r>
      <w:r>
        <w:rPr>
          <w:rFonts w:hint="eastAsia"/>
        </w:rPr>
        <w:t>20</w:t>
      </w:r>
      <w:r>
        <w:t>年</w:t>
      </w:r>
      <w:r>
        <w:rPr>
          <w:rFonts w:hint="eastAsia"/>
        </w:rPr>
        <w:t>甘肃省人民代表大会常务委员会办公厅</w:t>
      </w:r>
      <w:r>
        <w:t>基本支出预算执行情况</w:t>
      </w:r>
    </w:p>
    <w:p>
      <w:pPr>
        <w:pStyle w:val="37"/>
        <w:jc w:val="right"/>
      </w:pPr>
      <w:r>
        <w:rPr>
          <w:rFonts w:hint="eastAsia"/>
        </w:rPr>
        <w:t>单位：万元</w:t>
      </w:r>
    </w:p>
    <w:tbl>
      <w:tblPr>
        <w:tblStyle w:val="16"/>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411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263" w:type="dxa"/>
            <w:shd w:val="clear" w:color="auto" w:fill="auto"/>
            <w:vAlign w:val="center"/>
          </w:tcPr>
          <w:p>
            <w:pPr>
              <w:pStyle w:val="37"/>
              <w:rPr>
                <w:b/>
                <w:bCs/>
              </w:rPr>
            </w:pPr>
            <w:r>
              <w:rPr>
                <w:b/>
                <w:bCs/>
              </w:rPr>
              <w:t>项目名称</w:t>
            </w:r>
          </w:p>
        </w:tc>
        <w:tc>
          <w:tcPr>
            <w:tcW w:w="4112" w:type="dxa"/>
            <w:shd w:val="clear" w:color="auto" w:fill="auto"/>
            <w:vAlign w:val="center"/>
          </w:tcPr>
          <w:p>
            <w:pPr>
              <w:pStyle w:val="37"/>
              <w:rPr>
                <w:b/>
                <w:bCs/>
              </w:rPr>
            </w:pPr>
            <w:r>
              <w:rPr>
                <w:b/>
                <w:bCs/>
              </w:rPr>
              <w:t>明细项目</w:t>
            </w:r>
          </w:p>
        </w:tc>
        <w:tc>
          <w:tcPr>
            <w:tcW w:w="1989" w:type="dxa"/>
            <w:shd w:val="clear" w:color="auto" w:fill="auto"/>
            <w:vAlign w:val="center"/>
          </w:tcPr>
          <w:p>
            <w:pPr>
              <w:pStyle w:val="37"/>
              <w:rPr>
                <w:b/>
                <w:bCs/>
              </w:rPr>
            </w:pPr>
            <w:r>
              <w:rPr>
                <w:b/>
                <w:bCs/>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rPr>
                <w:b/>
                <w:bCs/>
              </w:rPr>
            </w:pPr>
            <w:r>
              <w:rPr>
                <w:b/>
                <w:bCs/>
              </w:rPr>
              <w:t>合计</w:t>
            </w:r>
          </w:p>
        </w:tc>
        <w:tc>
          <w:tcPr>
            <w:tcW w:w="1989" w:type="dxa"/>
            <w:shd w:val="clear" w:color="auto" w:fill="auto"/>
            <w:vAlign w:val="center"/>
          </w:tcPr>
          <w:p>
            <w:pPr>
              <w:pStyle w:val="37"/>
            </w:pPr>
            <w:r>
              <w:t>7285.45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jc w:val="both"/>
              <w:rPr>
                <w:b/>
                <w:bCs/>
              </w:rPr>
            </w:pPr>
            <w:r>
              <w:rPr>
                <w:rFonts w:hint="eastAsia"/>
                <w:b/>
                <w:bCs/>
              </w:rPr>
              <w:t>1.人员经费</w:t>
            </w:r>
          </w:p>
        </w:tc>
        <w:tc>
          <w:tcPr>
            <w:tcW w:w="1989" w:type="dxa"/>
            <w:shd w:val="clear" w:color="auto" w:fill="auto"/>
            <w:vAlign w:val="center"/>
          </w:tcPr>
          <w:p>
            <w:pPr>
              <w:pStyle w:val="37"/>
            </w:pPr>
            <w:r>
              <w:t>5070.72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ind w:firstLine="241" w:firstLineChars="100"/>
              <w:jc w:val="both"/>
              <w:rPr>
                <w:b/>
                <w:bCs/>
              </w:rPr>
            </w:pPr>
            <w:r>
              <w:rPr>
                <w:rFonts w:hint="eastAsia"/>
                <w:b/>
                <w:bCs/>
              </w:rPr>
              <w:t>工资福利支出</w:t>
            </w:r>
          </w:p>
        </w:tc>
        <w:tc>
          <w:tcPr>
            <w:tcW w:w="1989" w:type="dxa"/>
            <w:shd w:val="clear" w:color="auto" w:fill="auto"/>
            <w:vAlign w:val="center"/>
          </w:tcPr>
          <w:p>
            <w:pPr>
              <w:pStyle w:val="37"/>
            </w:pPr>
            <w:r>
              <w:t>3982.44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基本工资</w:t>
            </w:r>
          </w:p>
        </w:tc>
        <w:tc>
          <w:tcPr>
            <w:tcW w:w="1989" w:type="dxa"/>
            <w:shd w:val="clear" w:color="auto" w:fill="auto"/>
            <w:vAlign w:val="center"/>
          </w:tcPr>
          <w:p>
            <w:pPr>
              <w:pStyle w:val="37"/>
            </w:pPr>
            <w:r>
              <w:t>1465.61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津贴补贴</w:t>
            </w:r>
          </w:p>
        </w:tc>
        <w:tc>
          <w:tcPr>
            <w:tcW w:w="1989" w:type="dxa"/>
            <w:shd w:val="clear" w:color="auto" w:fill="auto"/>
            <w:vAlign w:val="center"/>
          </w:tcPr>
          <w:p>
            <w:pPr>
              <w:pStyle w:val="37"/>
            </w:pPr>
            <w:r>
              <w:t>926.17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奖金</w:t>
            </w:r>
          </w:p>
        </w:tc>
        <w:tc>
          <w:tcPr>
            <w:tcW w:w="1989" w:type="dxa"/>
            <w:shd w:val="clear" w:color="auto" w:fill="auto"/>
            <w:vAlign w:val="center"/>
          </w:tcPr>
          <w:p>
            <w:pPr>
              <w:pStyle w:val="37"/>
            </w:pPr>
            <w:r>
              <w:t>119.99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绩效工资</w:t>
            </w:r>
          </w:p>
        </w:tc>
        <w:tc>
          <w:tcPr>
            <w:tcW w:w="1989" w:type="dxa"/>
            <w:shd w:val="clear" w:color="auto" w:fill="auto"/>
            <w:vAlign w:val="center"/>
          </w:tcPr>
          <w:p>
            <w:pPr>
              <w:pStyle w:val="37"/>
            </w:pPr>
            <w:r>
              <w:t>103.59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机关事业单位基本养老保险缴费</w:t>
            </w:r>
          </w:p>
        </w:tc>
        <w:tc>
          <w:tcPr>
            <w:tcW w:w="1989" w:type="dxa"/>
            <w:shd w:val="clear" w:color="auto" w:fill="auto"/>
            <w:vAlign w:val="center"/>
          </w:tcPr>
          <w:p>
            <w:pPr>
              <w:pStyle w:val="37"/>
            </w:pPr>
            <w:r>
              <w:t>351.20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职业年金缴费</w:t>
            </w:r>
          </w:p>
        </w:tc>
        <w:tc>
          <w:tcPr>
            <w:tcW w:w="1989" w:type="dxa"/>
            <w:shd w:val="clear" w:color="auto" w:fill="auto"/>
            <w:vAlign w:val="center"/>
          </w:tcPr>
          <w:p>
            <w:pPr>
              <w:pStyle w:val="37"/>
            </w:pPr>
            <w: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其他社会保障缴费</w:t>
            </w:r>
          </w:p>
        </w:tc>
        <w:tc>
          <w:tcPr>
            <w:tcW w:w="1989" w:type="dxa"/>
            <w:shd w:val="clear" w:color="auto" w:fill="auto"/>
            <w:vAlign w:val="center"/>
          </w:tcPr>
          <w:p>
            <w:pPr>
              <w:pStyle w:val="37"/>
            </w:pPr>
            <w: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职工基本医疗保险缴费</w:t>
            </w:r>
          </w:p>
        </w:tc>
        <w:tc>
          <w:tcPr>
            <w:tcW w:w="1989" w:type="dxa"/>
            <w:shd w:val="clear" w:color="auto" w:fill="auto"/>
            <w:vAlign w:val="center"/>
          </w:tcPr>
          <w:p>
            <w:pPr>
              <w:pStyle w:val="37"/>
            </w:pPr>
            <w:r>
              <w:t>156.61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公务员医疗补助缴费</w:t>
            </w:r>
          </w:p>
        </w:tc>
        <w:tc>
          <w:tcPr>
            <w:tcW w:w="1989" w:type="dxa"/>
            <w:shd w:val="clear" w:color="auto" w:fill="auto"/>
            <w:vAlign w:val="center"/>
          </w:tcPr>
          <w:p>
            <w:pPr>
              <w:pStyle w:val="37"/>
            </w:pPr>
            <w:r>
              <w:t>155.55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其他社会保障缴费</w:t>
            </w:r>
          </w:p>
        </w:tc>
        <w:tc>
          <w:tcPr>
            <w:tcW w:w="1989" w:type="dxa"/>
            <w:shd w:val="clear" w:color="auto" w:fill="auto"/>
            <w:vAlign w:val="center"/>
          </w:tcPr>
          <w:p>
            <w:pPr>
              <w:pStyle w:val="37"/>
            </w:pPr>
            <w: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住房公积金</w:t>
            </w:r>
          </w:p>
        </w:tc>
        <w:tc>
          <w:tcPr>
            <w:tcW w:w="1989" w:type="dxa"/>
            <w:shd w:val="clear" w:color="auto" w:fill="auto"/>
            <w:vAlign w:val="center"/>
          </w:tcPr>
          <w:p>
            <w:pPr>
              <w:pStyle w:val="37"/>
            </w:pPr>
            <w:r>
              <w:t>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医疗费</w:t>
            </w:r>
          </w:p>
        </w:tc>
        <w:tc>
          <w:tcPr>
            <w:tcW w:w="1989" w:type="dxa"/>
            <w:shd w:val="clear" w:color="auto" w:fill="auto"/>
            <w:vAlign w:val="center"/>
          </w:tcPr>
          <w:p>
            <w:pPr>
              <w:pStyle w:val="37"/>
            </w:pPr>
            <w:r>
              <w:t>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其他工资福利支出</w:t>
            </w:r>
          </w:p>
        </w:tc>
        <w:tc>
          <w:tcPr>
            <w:tcW w:w="1989" w:type="dxa"/>
            <w:shd w:val="clear" w:color="auto" w:fill="auto"/>
            <w:vAlign w:val="center"/>
          </w:tcPr>
          <w:p>
            <w:pPr>
              <w:pStyle w:val="37"/>
            </w:pPr>
            <w: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ind w:firstLine="241" w:firstLineChars="100"/>
              <w:jc w:val="both"/>
              <w:rPr>
                <w:b/>
                <w:bCs/>
              </w:rPr>
            </w:pPr>
            <w:r>
              <w:rPr>
                <w:rFonts w:hint="eastAsia"/>
                <w:b/>
                <w:bCs/>
              </w:rPr>
              <w:t>对个人和家庭的补助</w:t>
            </w:r>
          </w:p>
        </w:tc>
        <w:tc>
          <w:tcPr>
            <w:tcW w:w="1989" w:type="dxa"/>
            <w:shd w:val="clear" w:color="auto" w:fill="auto"/>
            <w:vAlign w:val="center"/>
          </w:tcPr>
          <w:p>
            <w:pPr>
              <w:pStyle w:val="37"/>
            </w:pPr>
            <w:r>
              <w:t>1088.27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离休费</w:t>
            </w:r>
          </w:p>
        </w:tc>
        <w:tc>
          <w:tcPr>
            <w:tcW w:w="1989" w:type="dxa"/>
            <w:shd w:val="clear" w:color="auto" w:fill="auto"/>
            <w:vAlign w:val="center"/>
          </w:tcPr>
          <w:p>
            <w:pPr>
              <w:pStyle w:val="37"/>
            </w:pPr>
            <w:r>
              <w:t>97.4022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退休费</w:t>
            </w:r>
          </w:p>
        </w:tc>
        <w:tc>
          <w:tcPr>
            <w:tcW w:w="1989" w:type="dxa"/>
            <w:shd w:val="clear" w:color="auto" w:fill="auto"/>
            <w:vAlign w:val="center"/>
          </w:tcPr>
          <w:p>
            <w:pPr>
              <w:pStyle w:val="37"/>
            </w:pPr>
            <w:r>
              <w:t>14.8000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抚恤金</w:t>
            </w:r>
          </w:p>
        </w:tc>
        <w:tc>
          <w:tcPr>
            <w:tcW w:w="1989" w:type="dxa"/>
            <w:shd w:val="clear" w:color="auto" w:fill="auto"/>
            <w:vAlign w:val="center"/>
          </w:tcPr>
          <w:p>
            <w:pPr>
              <w:pStyle w:val="37"/>
            </w:pPr>
            <w:r>
              <w:t>53.7292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生活补助</w:t>
            </w:r>
          </w:p>
        </w:tc>
        <w:tc>
          <w:tcPr>
            <w:tcW w:w="1989" w:type="dxa"/>
            <w:shd w:val="clear" w:color="auto" w:fill="auto"/>
            <w:vAlign w:val="center"/>
          </w:tcPr>
          <w:p>
            <w:pPr>
              <w:pStyle w:val="37"/>
            </w:pPr>
            <w:r>
              <w:t>21.0968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医疗费补助</w:t>
            </w:r>
          </w:p>
        </w:tc>
        <w:tc>
          <w:tcPr>
            <w:tcW w:w="1989" w:type="dxa"/>
            <w:shd w:val="clear" w:color="auto" w:fill="auto"/>
            <w:vAlign w:val="center"/>
          </w:tcPr>
          <w:p>
            <w:pPr>
              <w:pStyle w:val="37"/>
            </w:pPr>
            <w:r>
              <w:t>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奖励金</w:t>
            </w:r>
          </w:p>
        </w:tc>
        <w:tc>
          <w:tcPr>
            <w:tcW w:w="1989" w:type="dxa"/>
            <w:shd w:val="clear" w:color="auto" w:fill="auto"/>
            <w:vAlign w:val="center"/>
          </w:tcPr>
          <w:p>
            <w:pPr>
              <w:pStyle w:val="37"/>
            </w:pPr>
            <w:r>
              <w:t>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jc w:val="both"/>
              <w:rPr>
                <w:b/>
                <w:bCs/>
              </w:rPr>
            </w:pPr>
            <w:r>
              <w:rPr>
                <w:rFonts w:hint="eastAsia"/>
                <w:b/>
                <w:bCs/>
              </w:rPr>
              <w:t>2.日常公用经费</w:t>
            </w:r>
          </w:p>
        </w:tc>
        <w:tc>
          <w:tcPr>
            <w:tcW w:w="1989" w:type="dxa"/>
            <w:shd w:val="clear" w:color="auto" w:fill="auto"/>
            <w:vAlign w:val="center"/>
          </w:tcPr>
          <w:p>
            <w:pPr>
              <w:pStyle w:val="37"/>
            </w:pPr>
            <w:r>
              <w:t>2214.73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ind w:firstLine="241" w:firstLineChars="100"/>
              <w:jc w:val="both"/>
              <w:rPr>
                <w:b/>
                <w:bCs/>
              </w:rPr>
            </w:pPr>
            <w:r>
              <w:rPr>
                <w:rFonts w:hint="eastAsia"/>
                <w:b/>
                <w:bCs/>
              </w:rPr>
              <w:t>商品和服务支出</w:t>
            </w:r>
          </w:p>
        </w:tc>
        <w:tc>
          <w:tcPr>
            <w:tcW w:w="1989" w:type="dxa"/>
            <w:shd w:val="clear" w:color="auto" w:fill="auto"/>
            <w:vAlign w:val="center"/>
          </w:tcPr>
          <w:p>
            <w:pPr>
              <w:pStyle w:val="37"/>
            </w:pPr>
            <w:r>
              <w:t>2134.87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办公费</w:t>
            </w:r>
          </w:p>
        </w:tc>
        <w:tc>
          <w:tcPr>
            <w:tcW w:w="1989" w:type="dxa"/>
            <w:shd w:val="clear" w:color="auto" w:fill="auto"/>
            <w:vAlign w:val="center"/>
          </w:tcPr>
          <w:p>
            <w:pPr>
              <w:pStyle w:val="37"/>
            </w:pPr>
            <w:r>
              <w:t>224.27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印刷费</w:t>
            </w:r>
          </w:p>
        </w:tc>
        <w:tc>
          <w:tcPr>
            <w:tcW w:w="1989" w:type="dxa"/>
            <w:shd w:val="clear" w:color="auto" w:fill="auto"/>
            <w:vAlign w:val="center"/>
          </w:tcPr>
          <w:p>
            <w:pPr>
              <w:pStyle w:val="37"/>
            </w:pPr>
            <w:r>
              <w:t>152.73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咨询费</w:t>
            </w:r>
          </w:p>
        </w:tc>
        <w:tc>
          <w:tcPr>
            <w:tcW w:w="1989" w:type="dxa"/>
            <w:shd w:val="clear" w:color="auto" w:fill="auto"/>
            <w:vAlign w:val="center"/>
          </w:tcPr>
          <w:p>
            <w:pPr>
              <w:pStyle w:val="37"/>
            </w:pPr>
            <w: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手续费</w:t>
            </w:r>
          </w:p>
        </w:tc>
        <w:tc>
          <w:tcPr>
            <w:tcW w:w="1989" w:type="dxa"/>
            <w:shd w:val="clear" w:color="auto" w:fill="auto"/>
            <w:vAlign w:val="center"/>
          </w:tcPr>
          <w:p>
            <w:pPr>
              <w:pStyle w:val="37"/>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水费</w:t>
            </w:r>
          </w:p>
        </w:tc>
        <w:tc>
          <w:tcPr>
            <w:tcW w:w="1989" w:type="dxa"/>
            <w:shd w:val="clear" w:color="auto" w:fill="auto"/>
            <w:vAlign w:val="center"/>
          </w:tcPr>
          <w:p>
            <w:pPr>
              <w:pStyle w:val="37"/>
            </w:pPr>
            <w:r>
              <w:t>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电费</w:t>
            </w:r>
          </w:p>
        </w:tc>
        <w:tc>
          <w:tcPr>
            <w:tcW w:w="1989" w:type="dxa"/>
            <w:shd w:val="clear" w:color="auto" w:fill="auto"/>
            <w:vAlign w:val="center"/>
          </w:tcPr>
          <w:p>
            <w:pPr>
              <w:pStyle w:val="37"/>
            </w:pPr>
            <w:r>
              <w:t>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邮电费</w:t>
            </w:r>
          </w:p>
        </w:tc>
        <w:tc>
          <w:tcPr>
            <w:tcW w:w="1989" w:type="dxa"/>
            <w:shd w:val="clear" w:color="auto" w:fill="auto"/>
            <w:vAlign w:val="center"/>
          </w:tcPr>
          <w:p>
            <w:pPr>
              <w:pStyle w:val="37"/>
            </w:pPr>
            <w:r>
              <w:t>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取暖费</w:t>
            </w:r>
          </w:p>
        </w:tc>
        <w:tc>
          <w:tcPr>
            <w:tcW w:w="1989" w:type="dxa"/>
            <w:shd w:val="clear" w:color="auto" w:fill="auto"/>
            <w:vAlign w:val="center"/>
          </w:tcPr>
          <w:p>
            <w:pPr>
              <w:pStyle w:val="37"/>
            </w:pPr>
            <w:r>
              <w:t>335.69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物业管理费</w:t>
            </w:r>
          </w:p>
        </w:tc>
        <w:tc>
          <w:tcPr>
            <w:tcW w:w="1989" w:type="dxa"/>
            <w:shd w:val="clear" w:color="auto" w:fill="auto"/>
            <w:vAlign w:val="center"/>
          </w:tcPr>
          <w:p>
            <w:pPr>
              <w:pStyle w:val="37"/>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差旅费</w:t>
            </w:r>
          </w:p>
        </w:tc>
        <w:tc>
          <w:tcPr>
            <w:tcW w:w="1989" w:type="dxa"/>
            <w:shd w:val="clear" w:color="auto" w:fill="auto"/>
            <w:vAlign w:val="center"/>
          </w:tcPr>
          <w:p>
            <w:pPr>
              <w:pStyle w:val="37"/>
            </w:pPr>
            <w: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维修（护）费</w:t>
            </w:r>
          </w:p>
        </w:tc>
        <w:tc>
          <w:tcPr>
            <w:tcW w:w="1989" w:type="dxa"/>
            <w:shd w:val="clear" w:color="auto" w:fill="auto"/>
            <w:vAlign w:val="center"/>
          </w:tcPr>
          <w:p>
            <w:pPr>
              <w:pStyle w:val="37"/>
            </w:pPr>
            <w: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培训费</w:t>
            </w:r>
          </w:p>
        </w:tc>
        <w:tc>
          <w:tcPr>
            <w:tcW w:w="1989" w:type="dxa"/>
            <w:shd w:val="clear" w:color="auto" w:fill="auto"/>
            <w:vAlign w:val="center"/>
          </w:tcPr>
          <w:p>
            <w:pPr>
              <w:pStyle w:val="37"/>
            </w:pPr>
            <w: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公务接待费</w:t>
            </w:r>
          </w:p>
        </w:tc>
        <w:tc>
          <w:tcPr>
            <w:tcW w:w="1989" w:type="dxa"/>
            <w:shd w:val="clear" w:color="auto" w:fill="auto"/>
            <w:vAlign w:val="center"/>
          </w:tcPr>
          <w:p>
            <w:pPr>
              <w:pStyle w:val="37"/>
            </w:pPr>
            <w:r>
              <w:t>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劳务费</w:t>
            </w:r>
          </w:p>
        </w:tc>
        <w:tc>
          <w:tcPr>
            <w:tcW w:w="1989" w:type="dxa"/>
            <w:shd w:val="clear" w:color="auto" w:fill="auto"/>
            <w:vAlign w:val="center"/>
          </w:tcPr>
          <w:p>
            <w:pPr>
              <w:pStyle w:val="37"/>
            </w:pPr>
            <w:r>
              <w:t>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委托业务费</w:t>
            </w:r>
          </w:p>
        </w:tc>
        <w:tc>
          <w:tcPr>
            <w:tcW w:w="1989" w:type="dxa"/>
            <w:shd w:val="clear" w:color="auto" w:fill="auto"/>
            <w:vAlign w:val="center"/>
          </w:tcPr>
          <w:p>
            <w:pPr>
              <w:pStyle w:val="37"/>
            </w:pPr>
            <w:r>
              <w:t>75.18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工会经费</w:t>
            </w:r>
          </w:p>
        </w:tc>
        <w:tc>
          <w:tcPr>
            <w:tcW w:w="1989" w:type="dxa"/>
            <w:shd w:val="clear" w:color="auto" w:fill="auto"/>
            <w:vAlign w:val="center"/>
          </w:tcPr>
          <w:p>
            <w:pPr>
              <w:pStyle w:val="37"/>
            </w:pPr>
            <w:r>
              <w:t>181.82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福利费</w:t>
            </w:r>
          </w:p>
        </w:tc>
        <w:tc>
          <w:tcPr>
            <w:tcW w:w="1989" w:type="dxa"/>
            <w:shd w:val="clear" w:color="auto" w:fill="auto"/>
            <w:vAlign w:val="center"/>
          </w:tcPr>
          <w:p>
            <w:pPr>
              <w:pStyle w:val="37"/>
            </w:pPr>
            <w:r>
              <w:t>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公务用车运行维护费</w:t>
            </w:r>
          </w:p>
        </w:tc>
        <w:tc>
          <w:tcPr>
            <w:tcW w:w="1989" w:type="dxa"/>
            <w:shd w:val="clear" w:color="auto" w:fill="auto"/>
            <w:vAlign w:val="center"/>
          </w:tcPr>
          <w:p>
            <w:pPr>
              <w:pStyle w:val="37"/>
            </w:pPr>
            <w:r>
              <w:t>143.04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其他交通费用</w:t>
            </w:r>
          </w:p>
        </w:tc>
        <w:tc>
          <w:tcPr>
            <w:tcW w:w="1989" w:type="dxa"/>
            <w:shd w:val="clear" w:color="auto" w:fill="auto"/>
            <w:vAlign w:val="center"/>
          </w:tcPr>
          <w:p>
            <w:pPr>
              <w:pStyle w:val="37"/>
            </w:pPr>
            <w:r>
              <w:t>340.40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税金及附加费用</w:t>
            </w:r>
          </w:p>
        </w:tc>
        <w:tc>
          <w:tcPr>
            <w:tcW w:w="1989" w:type="dxa"/>
            <w:shd w:val="clear" w:color="auto" w:fill="auto"/>
            <w:vAlign w:val="center"/>
          </w:tcPr>
          <w:p>
            <w:pPr>
              <w:pStyle w:val="37"/>
            </w:pPr>
            <w: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37"/>
              <w:ind w:firstLine="241" w:firstLineChars="100"/>
              <w:jc w:val="both"/>
              <w:rPr>
                <w:b/>
                <w:bCs/>
              </w:rPr>
            </w:pPr>
            <w:r>
              <w:rPr>
                <w:rFonts w:hint="eastAsia"/>
                <w:b/>
                <w:bCs/>
              </w:rPr>
              <w:t>资本性支出</w:t>
            </w:r>
          </w:p>
        </w:tc>
        <w:tc>
          <w:tcPr>
            <w:tcW w:w="1989" w:type="dxa"/>
            <w:shd w:val="clear" w:color="auto" w:fill="auto"/>
            <w:vAlign w:val="center"/>
          </w:tcPr>
          <w:p>
            <w:pPr>
              <w:pStyle w:val="37"/>
            </w:pPr>
            <w:r>
              <w:t>79.86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办公设备购置</w:t>
            </w:r>
          </w:p>
        </w:tc>
        <w:tc>
          <w:tcPr>
            <w:tcW w:w="1989" w:type="dxa"/>
            <w:shd w:val="clear" w:color="auto" w:fill="auto"/>
            <w:vAlign w:val="center"/>
          </w:tcPr>
          <w:p>
            <w:pPr>
              <w:pStyle w:val="37"/>
            </w:pPr>
            <w:r>
              <w:t>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37"/>
            </w:pPr>
          </w:p>
        </w:tc>
        <w:tc>
          <w:tcPr>
            <w:tcW w:w="4112" w:type="dxa"/>
            <w:shd w:val="clear" w:color="auto" w:fill="auto"/>
            <w:vAlign w:val="center"/>
          </w:tcPr>
          <w:p>
            <w:pPr>
              <w:pStyle w:val="37"/>
            </w:pPr>
            <w:r>
              <w:rPr>
                <w:rFonts w:hint="eastAsia"/>
              </w:rPr>
              <w:t>无形资产购置</w:t>
            </w:r>
          </w:p>
        </w:tc>
        <w:tc>
          <w:tcPr>
            <w:tcW w:w="1989" w:type="dxa"/>
            <w:shd w:val="clear" w:color="auto" w:fill="auto"/>
            <w:vAlign w:val="center"/>
          </w:tcPr>
          <w:p>
            <w:pPr>
              <w:pStyle w:val="37"/>
            </w:pPr>
            <w:r>
              <w:t>1</w:t>
            </w:r>
          </w:p>
        </w:tc>
      </w:tr>
    </w:tbl>
    <w:p>
      <w:pPr>
        <w:pStyle w:val="19"/>
      </w:pPr>
      <w:r>
        <w:rPr>
          <w:rFonts w:hint="eastAsia"/>
        </w:rPr>
        <w:t>（</w:t>
      </w:r>
      <w:r>
        <w:t>2）项目支出情况</w:t>
      </w:r>
    </w:p>
    <w:p>
      <w:pPr>
        <w:pStyle w:val="19"/>
      </w:pPr>
      <w:r>
        <w:t>2020年</w:t>
      </w:r>
      <w:r>
        <w:rPr>
          <w:rFonts w:hint="eastAsia"/>
        </w:rPr>
        <w:t>甘肃省人民代表大会常务委员会办公厅</w:t>
      </w:r>
      <w:r>
        <w:t>部门预算中项目支出为3199.16万元，资金情况具体详见表1-3。</w:t>
      </w:r>
    </w:p>
    <w:p>
      <w:pPr>
        <w:pStyle w:val="37"/>
      </w:pPr>
      <w:r>
        <w:rPr>
          <w:rFonts w:hint="eastAsia"/>
        </w:rPr>
        <w:t>表</w:t>
      </w:r>
      <w:r>
        <w:t>1-</w:t>
      </w:r>
      <w:r>
        <w:rPr>
          <w:rFonts w:hint="eastAsia"/>
        </w:rPr>
        <w:t>4</w:t>
      </w:r>
      <w:r>
        <w:t xml:space="preserve"> 20</w:t>
      </w:r>
      <w:r>
        <w:rPr>
          <w:rFonts w:hint="eastAsia"/>
        </w:rPr>
        <w:t>20</w:t>
      </w:r>
      <w:r>
        <w:t>年</w:t>
      </w:r>
      <w:r>
        <w:rPr>
          <w:rFonts w:hint="eastAsia"/>
        </w:rPr>
        <w:t>甘肃省人民代表大会常务委员会办公厅</w:t>
      </w:r>
      <w:r>
        <w:t>项目支出预算执行情况</w:t>
      </w:r>
    </w:p>
    <w:p>
      <w:pPr>
        <w:pStyle w:val="37"/>
        <w:jc w:val="right"/>
      </w:pPr>
      <w:r>
        <w:rPr>
          <w:rFonts w:hint="eastAsia"/>
        </w:rPr>
        <w:t>单位：万元</w:t>
      </w:r>
    </w:p>
    <w:tbl>
      <w:tblPr>
        <w:tblStyle w:val="16"/>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4111"/>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121" w:type="dxa"/>
            <w:shd w:val="clear" w:color="auto" w:fill="auto"/>
            <w:vAlign w:val="center"/>
          </w:tcPr>
          <w:p>
            <w:pPr>
              <w:pStyle w:val="37"/>
              <w:rPr>
                <w:b/>
                <w:bCs/>
              </w:rPr>
            </w:pPr>
            <w:r>
              <w:rPr>
                <w:rFonts w:hint="eastAsia"/>
                <w:b/>
                <w:bCs/>
              </w:rPr>
              <w:t>项目名称</w:t>
            </w:r>
          </w:p>
        </w:tc>
        <w:tc>
          <w:tcPr>
            <w:tcW w:w="4111" w:type="dxa"/>
            <w:shd w:val="clear" w:color="auto" w:fill="auto"/>
            <w:vAlign w:val="center"/>
          </w:tcPr>
          <w:p>
            <w:pPr>
              <w:pStyle w:val="37"/>
              <w:rPr>
                <w:b/>
                <w:bCs/>
              </w:rPr>
            </w:pPr>
            <w:r>
              <w:rPr>
                <w:b/>
                <w:bCs/>
              </w:rPr>
              <w:t>明细项目</w:t>
            </w:r>
          </w:p>
        </w:tc>
        <w:tc>
          <w:tcPr>
            <w:tcW w:w="1990" w:type="dxa"/>
            <w:shd w:val="clear" w:color="auto" w:fill="auto"/>
            <w:vAlign w:val="center"/>
          </w:tcPr>
          <w:p>
            <w:pPr>
              <w:pStyle w:val="37"/>
              <w:rPr>
                <w:b/>
                <w:bCs/>
              </w:rPr>
            </w:pPr>
            <w:r>
              <w:rPr>
                <w:b/>
                <w:bCs/>
              </w:rPr>
              <w:t>实际</w:t>
            </w:r>
            <w:r>
              <w:rPr>
                <w:rFonts w:hint="eastAsia"/>
                <w:b/>
                <w:bCs/>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32" w:type="dxa"/>
            <w:gridSpan w:val="2"/>
            <w:shd w:val="clear" w:color="auto" w:fill="auto"/>
            <w:vAlign w:val="center"/>
          </w:tcPr>
          <w:p>
            <w:pPr>
              <w:pStyle w:val="37"/>
              <w:rPr>
                <w:b/>
                <w:bCs/>
              </w:rPr>
            </w:pPr>
            <w:r>
              <w:rPr>
                <w:rFonts w:hint="eastAsia"/>
                <w:b/>
                <w:bCs/>
              </w:rPr>
              <w:t>合计</w:t>
            </w:r>
          </w:p>
        </w:tc>
        <w:tc>
          <w:tcPr>
            <w:tcW w:w="1990" w:type="dxa"/>
            <w:shd w:val="clear" w:color="auto" w:fill="auto"/>
            <w:vAlign w:val="center"/>
          </w:tcPr>
          <w:p>
            <w:pPr>
              <w:pStyle w:val="37"/>
            </w:pPr>
            <w:r>
              <w:t>3199.16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32" w:type="dxa"/>
            <w:gridSpan w:val="2"/>
            <w:shd w:val="clear" w:color="auto" w:fill="auto"/>
            <w:vAlign w:val="center"/>
          </w:tcPr>
          <w:p>
            <w:pPr>
              <w:pStyle w:val="37"/>
              <w:jc w:val="both"/>
              <w:rPr>
                <w:b/>
                <w:bCs/>
              </w:rPr>
            </w:pPr>
            <w:r>
              <w:rPr>
                <w:rFonts w:hint="eastAsia"/>
                <w:b/>
                <w:bCs/>
              </w:rPr>
              <w:t>一般公共服务支出</w:t>
            </w:r>
          </w:p>
        </w:tc>
        <w:tc>
          <w:tcPr>
            <w:tcW w:w="1990" w:type="dxa"/>
            <w:shd w:val="clear" w:color="auto" w:fill="auto"/>
            <w:vAlign w:val="center"/>
          </w:tcPr>
          <w:p>
            <w:pPr>
              <w:pStyle w:val="37"/>
            </w:pPr>
            <w:r>
              <w:t>3199.16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32" w:type="dxa"/>
            <w:gridSpan w:val="2"/>
            <w:shd w:val="clear" w:color="auto" w:fill="auto"/>
            <w:vAlign w:val="center"/>
          </w:tcPr>
          <w:p>
            <w:pPr>
              <w:pStyle w:val="37"/>
              <w:ind w:firstLine="241" w:firstLineChars="100"/>
              <w:jc w:val="both"/>
              <w:rPr>
                <w:b/>
                <w:bCs/>
              </w:rPr>
            </w:pPr>
            <w:r>
              <w:rPr>
                <w:rFonts w:hint="eastAsia"/>
                <w:b/>
                <w:bCs/>
              </w:rPr>
              <w:t>人大事务</w:t>
            </w:r>
          </w:p>
        </w:tc>
        <w:tc>
          <w:tcPr>
            <w:tcW w:w="1990" w:type="dxa"/>
            <w:shd w:val="clear" w:color="auto" w:fill="auto"/>
            <w:vAlign w:val="center"/>
          </w:tcPr>
          <w:p>
            <w:pPr>
              <w:pStyle w:val="37"/>
            </w:pPr>
            <w:r>
              <w:t>3199.16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行政运行</w:t>
            </w:r>
          </w:p>
        </w:tc>
        <w:tc>
          <w:tcPr>
            <w:tcW w:w="1990" w:type="dxa"/>
            <w:shd w:val="clear" w:color="auto" w:fill="auto"/>
            <w:vAlign w:val="center"/>
          </w:tcPr>
          <w:p>
            <w:pPr>
              <w:pStyle w:val="37"/>
            </w:pPr>
            <w:r>
              <w:t>226.44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一般行政管理事务</w:t>
            </w:r>
          </w:p>
        </w:tc>
        <w:tc>
          <w:tcPr>
            <w:tcW w:w="1990" w:type="dxa"/>
            <w:shd w:val="clear" w:color="auto" w:fill="auto"/>
            <w:vAlign w:val="center"/>
          </w:tcPr>
          <w:p>
            <w:pPr>
              <w:pStyle w:val="37"/>
            </w:pPr>
            <w:r>
              <w:t>394.80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人大会议</w:t>
            </w:r>
          </w:p>
        </w:tc>
        <w:tc>
          <w:tcPr>
            <w:tcW w:w="1990" w:type="dxa"/>
            <w:shd w:val="clear" w:color="auto" w:fill="auto"/>
            <w:vAlign w:val="center"/>
          </w:tcPr>
          <w:p>
            <w:pPr>
              <w:pStyle w:val="37"/>
            </w:pPr>
            <w:r>
              <w:t>970.54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人大立法</w:t>
            </w:r>
          </w:p>
        </w:tc>
        <w:tc>
          <w:tcPr>
            <w:tcW w:w="1990" w:type="dxa"/>
            <w:shd w:val="clear" w:color="auto" w:fill="auto"/>
            <w:vAlign w:val="center"/>
          </w:tcPr>
          <w:p>
            <w:pPr>
              <w:pStyle w:val="37"/>
            </w:pPr>
            <w: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人大代表履职能力提升</w:t>
            </w:r>
          </w:p>
        </w:tc>
        <w:tc>
          <w:tcPr>
            <w:tcW w:w="1990" w:type="dxa"/>
            <w:shd w:val="clear" w:color="auto" w:fill="auto"/>
            <w:vAlign w:val="center"/>
          </w:tcPr>
          <w:p>
            <w:pPr>
              <w:pStyle w:val="37"/>
            </w:pPr>
            <w:r>
              <w:t>383.96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代表工作</w:t>
            </w:r>
          </w:p>
        </w:tc>
        <w:tc>
          <w:tcPr>
            <w:tcW w:w="1990" w:type="dxa"/>
            <w:shd w:val="clear" w:color="auto" w:fill="auto"/>
            <w:vAlign w:val="center"/>
          </w:tcPr>
          <w:p>
            <w:pPr>
              <w:pStyle w:val="37"/>
            </w:pPr>
            <w:r>
              <w:t>447.02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事业运行</w:t>
            </w:r>
          </w:p>
        </w:tc>
        <w:tc>
          <w:tcPr>
            <w:tcW w:w="1990" w:type="dxa"/>
            <w:shd w:val="clear" w:color="auto" w:fill="auto"/>
            <w:vAlign w:val="center"/>
          </w:tcPr>
          <w:p>
            <w:pPr>
              <w:pStyle w:val="37"/>
            </w:pPr>
            <w: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37"/>
            </w:pPr>
          </w:p>
        </w:tc>
        <w:tc>
          <w:tcPr>
            <w:tcW w:w="4111" w:type="dxa"/>
            <w:shd w:val="clear" w:color="auto" w:fill="auto"/>
            <w:vAlign w:val="center"/>
          </w:tcPr>
          <w:p>
            <w:pPr>
              <w:pStyle w:val="37"/>
            </w:pPr>
            <w:r>
              <w:rPr>
                <w:rFonts w:hint="eastAsia"/>
              </w:rPr>
              <w:t>其他人大事务支出</w:t>
            </w:r>
          </w:p>
        </w:tc>
        <w:tc>
          <w:tcPr>
            <w:tcW w:w="1990" w:type="dxa"/>
            <w:shd w:val="clear" w:color="auto" w:fill="auto"/>
            <w:vAlign w:val="center"/>
          </w:tcPr>
          <w:p>
            <w:pPr>
              <w:pStyle w:val="37"/>
            </w:pPr>
            <w:r>
              <w:t>286.40</w:t>
            </w:r>
          </w:p>
        </w:tc>
      </w:tr>
    </w:tbl>
    <w:p>
      <w:pPr>
        <w:pStyle w:val="25"/>
        <w:numPr>
          <w:ilvl w:val="2"/>
          <w:numId w:val="0"/>
        </w:numPr>
      </w:pPr>
      <w:bookmarkStart w:id="13" w:name="_Toc75788745"/>
      <w:r>
        <w:rPr>
          <w:rFonts w:hint="eastAsia"/>
        </w:rPr>
        <w:t xml:space="preserve">    6.部门管理</w:t>
      </w:r>
      <w:bookmarkEnd w:id="13"/>
    </w:p>
    <w:p>
      <w:pPr>
        <w:pStyle w:val="19"/>
        <w:ind w:firstLine="0" w:firstLineChars="0"/>
      </w:pPr>
      <w:r>
        <w:rPr>
          <w:rFonts w:hint="eastAsia"/>
        </w:rPr>
        <w:t xml:space="preserve">    甘肃省人民代表大会常务委员会结合实际工作情况，制定了一系列内部管理制度，并认真贯彻执行，对部门实行制度化、规范化管理。</w:t>
      </w:r>
    </w:p>
    <w:p>
      <w:pPr>
        <w:pStyle w:val="27"/>
        <w:numPr>
          <w:ilvl w:val="0"/>
          <w:numId w:val="0"/>
        </w:numPr>
        <w:ind w:left="567"/>
      </w:pPr>
      <w:bookmarkStart w:id="14" w:name="_Toc75788746"/>
      <w:r>
        <w:rPr>
          <w:rFonts w:hint="eastAsia"/>
        </w:rPr>
        <w:t>（</w:t>
      </w:r>
      <w:r>
        <w:t>1）人员管理</w:t>
      </w:r>
      <w:bookmarkEnd w:id="14"/>
    </w:p>
    <w:p>
      <w:pPr>
        <w:pStyle w:val="19"/>
      </w:pPr>
      <w:r>
        <w:rPr>
          <w:rFonts w:hint="eastAsia"/>
        </w:rPr>
        <w:t>甘肃省人民代表大会常务委员会参照《中华人民共和国公务员法》进行管理，通过强化机关内部管理，改进工作作风，从而提高办事效率。此外甘肃省人民代表大会常务委员按照行政单位人员管理相关规定，制定了《甘肃省人大常委会机关干部选拔任用管理办法》的通知（甘人大常党发〔</w:t>
      </w:r>
      <w:r>
        <w:t>2013〕18号），从机关干部任用交流、机关干部的调入、机关接受军转干部、机关干部提拔任用四个方面做出了详细的规定。2013年中共甘肃省人大常委会机关党组关于印发《省人大常委会机关改进处级及以下干部选拔任用工作暂行规定》的通知（甘人大常党发〔2013〕29号</w:t>
      </w:r>
      <w:r>
        <w:rPr>
          <w:rFonts w:hint="eastAsia"/>
        </w:rPr>
        <w:t>），对干部的选拔及任用做出了相关规定。</w:t>
      </w:r>
    </w:p>
    <w:p>
      <w:pPr>
        <w:pStyle w:val="27"/>
        <w:numPr>
          <w:ilvl w:val="0"/>
          <w:numId w:val="0"/>
        </w:numPr>
        <w:ind w:left="567"/>
      </w:pPr>
      <w:bookmarkStart w:id="15" w:name="_Toc75788747"/>
      <w:r>
        <w:rPr>
          <w:rFonts w:hint="eastAsia"/>
        </w:rPr>
        <w:t>（</w:t>
      </w:r>
      <w:r>
        <w:t>2）财务管理</w:t>
      </w:r>
      <w:bookmarkEnd w:id="15"/>
    </w:p>
    <w:p>
      <w:pPr>
        <w:pStyle w:val="19"/>
      </w:pPr>
      <w:r>
        <w:rPr>
          <w:rFonts w:hint="eastAsia"/>
        </w:rPr>
        <w:t>甘肃省人民代表大会常务委员会主要按照《甘肃省人大常委会机关财务管理办法》执行资金管理，由行政保卫处负责机关财务的管理工作。该制度从经费预算管理、包干经费管理、专项业务经费管理、会议经费管理、固定资产的购置与管理、接待经费管理、基建及维修专项经费管理、其他经费管理几个方面做出了详细规定。</w:t>
      </w:r>
    </w:p>
    <w:p>
      <w:pPr>
        <w:pStyle w:val="27"/>
        <w:numPr>
          <w:ilvl w:val="0"/>
          <w:numId w:val="0"/>
        </w:numPr>
        <w:ind w:left="567"/>
      </w:pPr>
      <w:bookmarkStart w:id="16" w:name="_Toc75788748"/>
      <w:r>
        <w:rPr>
          <w:rFonts w:hint="eastAsia"/>
        </w:rPr>
        <w:t>（</w:t>
      </w:r>
      <w:r>
        <w:t>3）资产管理</w:t>
      </w:r>
      <w:bookmarkEnd w:id="16"/>
    </w:p>
    <w:p>
      <w:pPr>
        <w:pStyle w:val="19"/>
      </w:pPr>
      <w:r>
        <w:rPr>
          <w:rFonts w:hint="eastAsia"/>
        </w:rPr>
        <w:t>甘肃省人民代表大会常务委员会参照《甘肃省人大常委会机关固定资产管理办法》对本单位的固定资产进行管理。该管理办法对固定资产采购、管理、维护、报废等做出相关要求，并明确了归口责任，甘肃省人民代表大会常务委员会固定资产由行政保卫处负责管理。在日常管理中，行政保卫处每半年必须向秘书长办公厅主任办公室会议报告固定资产库存情况及增减变动情况。</w:t>
      </w:r>
    </w:p>
    <w:p>
      <w:pPr>
        <w:pStyle w:val="24"/>
        <w:numPr>
          <w:ilvl w:val="1"/>
          <w:numId w:val="0"/>
        </w:numPr>
        <w:ind w:firstLine="640"/>
      </w:pPr>
      <w:bookmarkStart w:id="17" w:name="_Toc75790564"/>
      <w:bookmarkStart w:id="18" w:name="_Toc76458930"/>
      <w:bookmarkStart w:id="19" w:name="_Toc76476746"/>
      <w:r>
        <w:rPr>
          <w:rFonts w:hint="eastAsia"/>
        </w:rPr>
        <w:t>（二）部门绩效目标</w:t>
      </w:r>
      <w:bookmarkEnd w:id="17"/>
      <w:bookmarkEnd w:id="18"/>
      <w:bookmarkEnd w:id="19"/>
      <w:bookmarkStart w:id="20" w:name="_Toc75788750"/>
    </w:p>
    <w:p>
      <w:pPr>
        <w:pStyle w:val="24"/>
        <w:numPr>
          <w:ilvl w:val="1"/>
          <w:numId w:val="0"/>
        </w:numPr>
        <w:ind w:firstLine="640"/>
      </w:pPr>
      <w:r>
        <w:rPr>
          <w:rFonts w:hint="eastAsia" w:eastAsia="仿宋_GB2312"/>
        </w:rPr>
        <w:t>1.总体目标</w:t>
      </w:r>
      <w:bookmarkEnd w:id="20"/>
    </w:p>
    <w:p>
      <w:pPr>
        <w:pStyle w:val="19"/>
        <w:ind w:firstLineChars="0"/>
      </w:pPr>
      <w:r>
        <w:rPr>
          <w:rFonts w:hint="eastAsia"/>
        </w:rPr>
        <w:t>以习近平新时代中国特色社会主义思想为指导，全面贯彻党的十九大及十九届二中、三中、四中、五中全会精神，深入学习贯彻习近平总书记关于坚持和完善人民代表大会制度的重要思想及对甘肃重要讲话和指示精神，围绕落实省委决策部署和常委会年度重点工作，切实履行办文办会、参谋助手、后勤保障、综合协调、督促办理等职责，扎实开展“不忘初心、牢记使命”主题教育，切实加强自身建设，为省人大及其常委会依法履职和机关正常有序运转提供了有效的服务保障。</w:t>
      </w:r>
      <w:bookmarkStart w:id="21" w:name="_Toc75788751"/>
    </w:p>
    <w:p>
      <w:pPr>
        <w:pStyle w:val="24"/>
        <w:numPr>
          <w:ilvl w:val="1"/>
          <w:numId w:val="0"/>
        </w:numPr>
        <w:ind w:firstLine="640"/>
        <w:rPr>
          <w:rFonts w:eastAsia="仿宋_GB2312"/>
        </w:rPr>
      </w:pPr>
      <w:r>
        <w:rPr>
          <w:rFonts w:hint="eastAsia" w:eastAsia="仿宋_GB2312"/>
        </w:rPr>
        <w:t>2.中长期发展目标</w:t>
      </w:r>
      <w:bookmarkEnd w:id="21"/>
    </w:p>
    <w:p>
      <w:pPr>
        <w:pStyle w:val="19"/>
      </w:pPr>
      <w:r>
        <w:rPr>
          <w:rFonts w:hint="eastAsia"/>
        </w:rPr>
        <w:t>以习近平新时代中国特色社会主义思想为指导，全面贯彻落实党的十九大和十九届二中、三中、四中、五中全会精神，认真学习贯彻习近平法治思想、习近平总书记关于坚持和完善人民代表大会制度的重要思想，深入落实习近平总书记对甘肃重要讲话和指示精神，坚持党的领导、人民当家作主、依法治国有机统一，按照中央和省委决策部署，围绕准确把握新发展阶段、深入贯彻新发展理念、加快构建新发展格局、推动高质量发展，聚焦中心重点，聚集群众意愿，聚合代表力量，聚力依法履职，创造性地做好立法、监督等工作，为“十四五”开好局提供有力法治保障，以优异成绩庆祝中国共产党成立</w:t>
      </w:r>
      <w:r>
        <w:t>100周年。</w:t>
      </w:r>
      <w:bookmarkStart w:id="22" w:name="_Toc75788752"/>
    </w:p>
    <w:p>
      <w:pPr>
        <w:pStyle w:val="19"/>
        <w:ind w:left="640" w:firstLine="0" w:firstLineChars="0"/>
        <w:rPr>
          <w:rFonts w:eastAsia="楷体"/>
          <w:b/>
        </w:rPr>
      </w:pPr>
      <w:r>
        <w:rPr>
          <w:rFonts w:hint="eastAsia"/>
          <w:b/>
        </w:rPr>
        <w:t>3.年度目标</w:t>
      </w:r>
      <w:bookmarkEnd w:id="22"/>
    </w:p>
    <w:p>
      <w:pPr>
        <w:pStyle w:val="19"/>
        <w:ind w:firstLine="0" w:firstLineChars="0"/>
        <w:rPr>
          <w:highlight w:val="yellow"/>
        </w:rPr>
      </w:pPr>
      <w:r>
        <w:rPr>
          <w:rFonts w:hint="eastAsia"/>
        </w:rPr>
        <w:t xml:space="preserve">    根据《甘肃省人大常委会</w:t>
      </w:r>
      <w:r>
        <w:t>2020年工作要点》及部门各科室20</w:t>
      </w:r>
      <w:r>
        <w:rPr>
          <w:rFonts w:hint="eastAsia"/>
        </w:rPr>
        <w:t>20</w:t>
      </w:r>
      <w:r>
        <w:t>年工作计划，评价组对甘肃省人民代表大会常务委员会在20</w:t>
      </w:r>
      <w:r>
        <w:rPr>
          <w:rFonts w:hint="eastAsia"/>
        </w:rPr>
        <w:t>20</w:t>
      </w:r>
      <w:r>
        <w:t>年的主要工作及工作目标进行了梳理，详见表1-4。</w:t>
      </w:r>
    </w:p>
    <w:p>
      <w:pPr>
        <w:pStyle w:val="37"/>
        <w:rPr>
          <w:rFonts w:eastAsia="等线"/>
        </w:rPr>
      </w:pPr>
      <w:r>
        <w:t>表格1-</w:t>
      </w:r>
      <w:r>
        <w:rPr>
          <w:rFonts w:hint="eastAsia"/>
        </w:rPr>
        <w:t>4</w:t>
      </w:r>
      <w:r>
        <w:t>绩效目标表</w:t>
      </w:r>
    </w:p>
    <w:tbl>
      <w:tblPr>
        <w:tblStyle w:val="16"/>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45"/>
        <w:gridCol w:w="3969"/>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blHeader/>
          <w:jc w:val="center"/>
        </w:trPr>
        <w:tc>
          <w:tcPr>
            <w:tcW w:w="2045" w:type="dxa"/>
            <w:shd w:val="clear" w:color="auto" w:fill="auto"/>
            <w:tcMar>
              <w:top w:w="60" w:type="dxa"/>
              <w:left w:w="60" w:type="dxa"/>
              <w:bottom w:w="45" w:type="dxa"/>
              <w:right w:w="60" w:type="dxa"/>
            </w:tcMar>
            <w:vAlign w:val="center"/>
          </w:tcPr>
          <w:p>
            <w:pPr>
              <w:pStyle w:val="37"/>
              <w:rPr>
                <w:b/>
                <w:bCs/>
                <w:lang w:bidi="ar"/>
              </w:rPr>
            </w:pPr>
            <w:r>
              <w:rPr>
                <w:b/>
                <w:bCs/>
                <w:lang w:bidi="ar"/>
              </w:rPr>
              <w:t>分解目标内容</w:t>
            </w:r>
          </w:p>
        </w:tc>
        <w:tc>
          <w:tcPr>
            <w:tcW w:w="3969" w:type="dxa"/>
            <w:shd w:val="clear" w:color="auto" w:fill="auto"/>
            <w:tcMar>
              <w:top w:w="60" w:type="dxa"/>
              <w:left w:w="60" w:type="dxa"/>
              <w:bottom w:w="45" w:type="dxa"/>
              <w:right w:w="60" w:type="dxa"/>
            </w:tcMar>
            <w:vAlign w:val="center"/>
          </w:tcPr>
          <w:p>
            <w:pPr>
              <w:pStyle w:val="37"/>
              <w:rPr>
                <w:b/>
                <w:bCs/>
                <w:lang w:bidi="ar"/>
              </w:rPr>
            </w:pPr>
            <w:r>
              <w:rPr>
                <w:b/>
                <w:bCs/>
                <w:lang w:bidi="ar"/>
              </w:rPr>
              <w:t>绩效指标</w:t>
            </w:r>
          </w:p>
        </w:tc>
        <w:tc>
          <w:tcPr>
            <w:tcW w:w="2401" w:type="dxa"/>
            <w:shd w:val="clear" w:color="auto" w:fill="auto"/>
            <w:tcMar>
              <w:top w:w="60" w:type="dxa"/>
              <w:left w:w="60" w:type="dxa"/>
              <w:bottom w:w="45" w:type="dxa"/>
              <w:right w:w="60" w:type="dxa"/>
            </w:tcMar>
            <w:vAlign w:val="center"/>
          </w:tcPr>
          <w:p>
            <w:pPr>
              <w:pStyle w:val="37"/>
              <w:rPr>
                <w:b/>
                <w:bCs/>
                <w:lang w:bidi="ar"/>
              </w:rPr>
            </w:pPr>
            <w:r>
              <w:rPr>
                <w:b/>
                <w:bCs/>
                <w:lang w:bidi="ar"/>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restart"/>
            <w:tcMar>
              <w:top w:w="60" w:type="dxa"/>
              <w:left w:w="60" w:type="dxa"/>
              <w:bottom w:w="45" w:type="dxa"/>
              <w:right w:w="60" w:type="dxa"/>
            </w:tcMar>
            <w:vAlign w:val="center"/>
          </w:tcPr>
          <w:p>
            <w:pPr>
              <w:pStyle w:val="37"/>
              <w:rPr>
                <w:lang w:bidi="ar"/>
              </w:rPr>
            </w:pPr>
            <w:r>
              <w:rPr>
                <w:lang w:bidi="ar"/>
              </w:rPr>
              <w:t>数量指标</w:t>
            </w:r>
          </w:p>
        </w:tc>
        <w:tc>
          <w:tcPr>
            <w:tcW w:w="3969" w:type="dxa"/>
            <w:tcMar>
              <w:top w:w="60" w:type="dxa"/>
              <w:left w:w="60" w:type="dxa"/>
              <w:bottom w:w="45" w:type="dxa"/>
              <w:right w:w="60" w:type="dxa"/>
            </w:tcMar>
            <w:vAlign w:val="center"/>
          </w:tcPr>
          <w:p>
            <w:pPr>
              <w:pStyle w:val="37"/>
              <w:rPr>
                <w:lang w:bidi="ar"/>
              </w:rPr>
            </w:pPr>
            <w:r>
              <w:rPr>
                <w:rFonts w:hint="eastAsia"/>
              </w:rPr>
              <w:t>组织召开各类会议及培训完成率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起草各类文稿完成率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公文服务及公文处理完成率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信访工作完成率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脱贫攻坚工作完成率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restart"/>
            <w:tcMar>
              <w:top w:w="60" w:type="dxa"/>
              <w:left w:w="60" w:type="dxa"/>
              <w:bottom w:w="45" w:type="dxa"/>
              <w:right w:w="60" w:type="dxa"/>
            </w:tcMar>
            <w:vAlign w:val="center"/>
          </w:tcPr>
          <w:p>
            <w:pPr>
              <w:pStyle w:val="37"/>
            </w:pPr>
            <w:r>
              <w:rPr>
                <w:lang w:bidi="ar"/>
              </w:rPr>
              <w:t>质量指标</w:t>
            </w:r>
          </w:p>
        </w:tc>
        <w:tc>
          <w:tcPr>
            <w:tcW w:w="3969" w:type="dxa"/>
            <w:tcMar>
              <w:top w:w="60" w:type="dxa"/>
              <w:left w:w="60" w:type="dxa"/>
              <w:bottom w:w="45" w:type="dxa"/>
              <w:right w:w="60" w:type="dxa"/>
            </w:tcMar>
            <w:vAlign w:val="center"/>
          </w:tcPr>
          <w:p>
            <w:pPr>
              <w:pStyle w:val="37"/>
              <w:rPr>
                <w:lang w:bidi="ar"/>
              </w:rPr>
            </w:pPr>
            <w:r>
              <w:rPr>
                <w:rFonts w:hint="eastAsia"/>
              </w:rPr>
              <w:t>来信来访处理覆盖率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bCs/>
              </w:rPr>
            </w:pPr>
            <w:r>
              <w:rPr>
                <w:rFonts w:hint="eastAsia"/>
              </w:rPr>
              <w:t>公文服务及公文处理覆盖率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资金使用规范性</w:t>
            </w:r>
          </w:p>
        </w:tc>
        <w:tc>
          <w:tcPr>
            <w:tcW w:w="2401" w:type="dxa"/>
            <w:tcMar>
              <w:top w:w="60" w:type="dxa"/>
              <w:left w:w="60" w:type="dxa"/>
              <w:bottom w:w="45" w:type="dxa"/>
              <w:right w:w="60" w:type="dxa"/>
            </w:tcMar>
            <w:vAlign w:val="center"/>
          </w:tcPr>
          <w:p>
            <w:pPr>
              <w:pStyle w:val="37"/>
            </w:pPr>
            <w:r>
              <w:rPr>
                <w:rFonts w:hint="eastAsia"/>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部门职工工资发放保障率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tcMar>
              <w:top w:w="60" w:type="dxa"/>
              <w:left w:w="60" w:type="dxa"/>
              <w:bottom w:w="45" w:type="dxa"/>
              <w:right w:w="60" w:type="dxa"/>
            </w:tcMar>
            <w:vAlign w:val="center"/>
          </w:tcPr>
          <w:p>
            <w:pPr>
              <w:pStyle w:val="37"/>
            </w:pPr>
            <w:r>
              <w:rPr>
                <w:lang w:bidi="ar"/>
              </w:rPr>
              <w:t>时效指标</w:t>
            </w:r>
          </w:p>
        </w:tc>
        <w:tc>
          <w:tcPr>
            <w:tcW w:w="3969" w:type="dxa"/>
            <w:tcMar>
              <w:top w:w="60" w:type="dxa"/>
              <w:left w:w="60" w:type="dxa"/>
              <w:bottom w:w="45" w:type="dxa"/>
              <w:right w:w="60" w:type="dxa"/>
            </w:tcMar>
            <w:vAlign w:val="center"/>
          </w:tcPr>
          <w:p>
            <w:pPr>
              <w:pStyle w:val="37"/>
              <w:rPr>
                <w:lang w:bidi="ar"/>
              </w:rPr>
            </w:pPr>
            <w:r>
              <w:rPr>
                <w:rFonts w:hint="eastAsia"/>
              </w:rPr>
              <w:t>各项工作完成及时性</w:t>
            </w:r>
          </w:p>
        </w:tc>
        <w:tc>
          <w:tcPr>
            <w:tcW w:w="2401" w:type="dxa"/>
            <w:tcMar>
              <w:top w:w="60" w:type="dxa"/>
              <w:left w:w="60" w:type="dxa"/>
              <w:bottom w:w="45" w:type="dxa"/>
              <w:right w:w="60" w:type="dxa"/>
            </w:tcMar>
            <w:vAlign w:val="center"/>
          </w:tcPr>
          <w:p>
            <w:pPr>
              <w:pStyle w:val="37"/>
            </w:pPr>
            <w:r>
              <w:rPr>
                <w:rFonts w:hint="eastAsia"/>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tcMar>
              <w:top w:w="60" w:type="dxa"/>
              <w:left w:w="60" w:type="dxa"/>
              <w:bottom w:w="45" w:type="dxa"/>
              <w:right w:w="60" w:type="dxa"/>
            </w:tcMar>
            <w:vAlign w:val="center"/>
          </w:tcPr>
          <w:p>
            <w:pPr>
              <w:pStyle w:val="37"/>
            </w:pPr>
            <w:r>
              <w:rPr>
                <w:lang w:bidi="ar"/>
              </w:rPr>
              <w:t>成本指标</w:t>
            </w:r>
          </w:p>
        </w:tc>
        <w:tc>
          <w:tcPr>
            <w:tcW w:w="3969" w:type="dxa"/>
            <w:tcMar>
              <w:top w:w="60" w:type="dxa"/>
              <w:left w:w="60" w:type="dxa"/>
              <w:bottom w:w="45" w:type="dxa"/>
              <w:right w:w="60" w:type="dxa"/>
            </w:tcMar>
            <w:vAlign w:val="center"/>
          </w:tcPr>
          <w:p>
            <w:pPr>
              <w:pStyle w:val="37"/>
              <w:rPr>
                <w:lang w:bidi="ar"/>
              </w:rPr>
            </w:pPr>
            <w:r>
              <w:rPr>
                <w:rFonts w:hint="eastAsia"/>
              </w:rPr>
              <w:t>总成本控制率</w:t>
            </w:r>
          </w:p>
        </w:tc>
        <w:tc>
          <w:tcPr>
            <w:tcW w:w="2401" w:type="dxa"/>
            <w:tcMar>
              <w:top w:w="60" w:type="dxa"/>
              <w:left w:w="60" w:type="dxa"/>
              <w:bottom w:w="45" w:type="dxa"/>
              <w:right w:w="60" w:type="dxa"/>
            </w:tcMar>
            <w:vAlign w:val="center"/>
          </w:tcPr>
          <w:p>
            <w:pPr>
              <w:pStyle w:val="3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restart"/>
            <w:tcMar>
              <w:top w:w="60" w:type="dxa"/>
              <w:left w:w="60" w:type="dxa"/>
              <w:bottom w:w="45" w:type="dxa"/>
              <w:right w:w="60" w:type="dxa"/>
            </w:tcMar>
            <w:vAlign w:val="center"/>
          </w:tcPr>
          <w:p>
            <w:pPr>
              <w:pStyle w:val="37"/>
            </w:pPr>
            <w:r>
              <w:rPr>
                <w:rFonts w:hint="eastAsia"/>
              </w:rPr>
              <w:t>社会效益指标</w:t>
            </w:r>
          </w:p>
        </w:tc>
        <w:tc>
          <w:tcPr>
            <w:tcW w:w="3969" w:type="dxa"/>
            <w:tcMar>
              <w:top w:w="60" w:type="dxa"/>
              <w:left w:w="60" w:type="dxa"/>
              <w:bottom w:w="45" w:type="dxa"/>
              <w:right w:w="60" w:type="dxa"/>
            </w:tcMar>
            <w:vAlign w:val="center"/>
          </w:tcPr>
          <w:p>
            <w:pPr>
              <w:pStyle w:val="37"/>
              <w:rPr>
                <w:lang w:bidi="ar"/>
              </w:rPr>
            </w:pPr>
            <w:r>
              <w:rPr>
                <w:rFonts w:hint="eastAsia"/>
              </w:rPr>
              <w:t>保证宪法、法律、行政法规和上级人民代表大会及其常务委员会决议的遵守和执行</w:t>
            </w:r>
          </w:p>
        </w:tc>
        <w:tc>
          <w:tcPr>
            <w:tcW w:w="2401" w:type="dxa"/>
            <w:tcMar>
              <w:top w:w="60" w:type="dxa"/>
              <w:left w:w="60" w:type="dxa"/>
              <w:bottom w:w="45" w:type="dxa"/>
              <w:right w:w="60" w:type="dxa"/>
            </w:tcMar>
            <w:vAlign w:val="center"/>
          </w:tcPr>
          <w:p>
            <w:pPr>
              <w:pStyle w:val="37"/>
            </w:pPr>
            <w:r>
              <w:rPr>
                <w:rFonts w:hint="eastAsia"/>
              </w:rPr>
              <w:t>及时保障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促进本省的政治、经济、教育、科学、文化、卫生、环境和资源保护、民政、民族等事业有序发展</w:t>
            </w:r>
          </w:p>
        </w:tc>
        <w:tc>
          <w:tcPr>
            <w:tcW w:w="2401" w:type="dxa"/>
            <w:tcMar>
              <w:top w:w="60" w:type="dxa"/>
              <w:left w:w="60" w:type="dxa"/>
              <w:bottom w:w="45" w:type="dxa"/>
              <w:right w:w="60" w:type="dxa"/>
            </w:tcMar>
            <w:vAlign w:val="center"/>
          </w:tcPr>
          <w:p>
            <w:pPr>
              <w:pStyle w:val="37"/>
            </w:pPr>
            <w:r>
              <w:rPr>
                <w:rFonts w:hint="eastAsia"/>
              </w:rPr>
              <w:t>有序促进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restart"/>
            <w:tcMar>
              <w:top w:w="60" w:type="dxa"/>
              <w:left w:w="60" w:type="dxa"/>
              <w:bottom w:w="45" w:type="dxa"/>
              <w:right w:w="60" w:type="dxa"/>
            </w:tcMar>
            <w:vAlign w:val="center"/>
          </w:tcPr>
          <w:p>
            <w:pPr>
              <w:pStyle w:val="37"/>
            </w:pPr>
            <w:r>
              <w:rPr>
                <w:lang w:bidi="ar"/>
              </w:rPr>
              <w:t>可持续性指标</w:t>
            </w:r>
          </w:p>
        </w:tc>
        <w:tc>
          <w:tcPr>
            <w:tcW w:w="3969" w:type="dxa"/>
            <w:tcMar>
              <w:top w:w="60" w:type="dxa"/>
              <w:left w:w="60" w:type="dxa"/>
              <w:bottom w:w="45" w:type="dxa"/>
              <w:right w:w="60" w:type="dxa"/>
            </w:tcMar>
            <w:vAlign w:val="center"/>
          </w:tcPr>
          <w:p>
            <w:pPr>
              <w:pStyle w:val="37"/>
              <w:rPr>
                <w:lang w:bidi="ar"/>
              </w:rPr>
            </w:pPr>
            <w:r>
              <w:rPr>
                <w:rFonts w:hint="eastAsia"/>
              </w:rPr>
              <w:t>长效机制健全性</w:t>
            </w:r>
          </w:p>
        </w:tc>
        <w:tc>
          <w:tcPr>
            <w:tcW w:w="2401" w:type="dxa"/>
            <w:tcMar>
              <w:top w:w="60" w:type="dxa"/>
              <w:left w:w="60" w:type="dxa"/>
              <w:bottom w:w="45" w:type="dxa"/>
              <w:right w:w="60" w:type="dxa"/>
            </w:tcMar>
            <w:vAlign w:val="center"/>
          </w:tcPr>
          <w:p>
            <w:pPr>
              <w:pStyle w:val="37"/>
            </w:pPr>
            <w:r>
              <w:rPr>
                <w:rFonts w:hint="eastAsia"/>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vMerge w:val="continue"/>
            <w:tcMar>
              <w:top w:w="60" w:type="dxa"/>
              <w:left w:w="60" w:type="dxa"/>
              <w:bottom w:w="45" w:type="dxa"/>
              <w:right w:w="60" w:type="dxa"/>
            </w:tcMar>
            <w:vAlign w:val="center"/>
          </w:tcPr>
          <w:p>
            <w:pPr>
              <w:pStyle w:val="37"/>
            </w:pPr>
          </w:p>
        </w:tc>
        <w:tc>
          <w:tcPr>
            <w:tcW w:w="3969" w:type="dxa"/>
            <w:tcMar>
              <w:top w:w="60" w:type="dxa"/>
              <w:left w:w="60" w:type="dxa"/>
              <w:bottom w:w="45" w:type="dxa"/>
              <w:right w:w="60" w:type="dxa"/>
            </w:tcMar>
            <w:vAlign w:val="center"/>
          </w:tcPr>
          <w:p>
            <w:pPr>
              <w:pStyle w:val="37"/>
              <w:rPr>
                <w:lang w:bidi="ar"/>
              </w:rPr>
            </w:pPr>
            <w:r>
              <w:rPr>
                <w:rFonts w:hint="eastAsia"/>
              </w:rPr>
              <w:t>信息共享机制健全性</w:t>
            </w:r>
          </w:p>
        </w:tc>
        <w:tc>
          <w:tcPr>
            <w:tcW w:w="2401" w:type="dxa"/>
            <w:tcMar>
              <w:top w:w="60" w:type="dxa"/>
              <w:left w:w="60" w:type="dxa"/>
              <w:bottom w:w="45" w:type="dxa"/>
              <w:right w:w="60" w:type="dxa"/>
            </w:tcMar>
            <w:vAlign w:val="center"/>
          </w:tcPr>
          <w:p>
            <w:pPr>
              <w:pStyle w:val="37"/>
            </w:pPr>
            <w:r>
              <w:rPr>
                <w:rFonts w:hint="eastAsia"/>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jc w:val="center"/>
        </w:trPr>
        <w:tc>
          <w:tcPr>
            <w:tcW w:w="2045" w:type="dxa"/>
            <w:tcMar>
              <w:top w:w="60" w:type="dxa"/>
              <w:left w:w="60" w:type="dxa"/>
              <w:bottom w:w="45" w:type="dxa"/>
              <w:right w:w="60" w:type="dxa"/>
            </w:tcMar>
            <w:vAlign w:val="center"/>
          </w:tcPr>
          <w:p>
            <w:pPr>
              <w:pStyle w:val="37"/>
            </w:pPr>
            <w:r>
              <w:rPr>
                <w:lang w:bidi="ar"/>
              </w:rPr>
              <w:t>满意度指标</w:t>
            </w:r>
          </w:p>
        </w:tc>
        <w:tc>
          <w:tcPr>
            <w:tcW w:w="3969" w:type="dxa"/>
            <w:tcMar>
              <w:top w:w="60" w:type="dxa"/>
              <w:left w:w="60" w:type="dxa"/>
              <w:bottom w:w="45" w:type="dxa"/>
              <w:right w:w="60" w:type="dxa"/>
            </w:tcMar>
            <w:vAlign w:val="center"/>
          </w:tcPr>
          <w:p>
            <w:pPr>
              <w:pStyle w:val="37"/>
              <w:rPr>
                <w:lang w:bidi="ar"/>
              </w:rPr>
            </w:pPr>
            <w:r>
              <w:rPr>
                <w:rFonts w:hint="eastAsia"/>
              </w:rPr>
              <w:t>部门职工满意度</w:t>
            </w:r>
          </w:p>
        </w:tc>
        <w:tc>
          <w:tcPr>
            <w:tcW w:w="2401" w:type="dxa"/>
            <w:tcMar>
              <w:top w:w="60" w:type="dxa"/>
              <w:left w:w="60" w:type="dxa"/>
              <w:bottom w:w="45" w:type="dxa"/>
              <w:right w:w="60" w:type="dxa"/>
            </w:tcMar>
            <w:vAlign w:val="center"/>
          </w:tcPr>
          <w:p>
            <w:pPr>
              <w:pStyle w:val="37"/>
            </w:pPr>
            <w:r>
              <w:t>90%</w:t>
            </w:r>
          </w:p>
        </w:tc>
      </w:tr>
    </w:tbl>
    <w:p>
      <w:pPr>
        <w:pStyle w:val="21"/>
        <w:numPr>
          <w:ilvl w:val="0"/>
          <w:numId w:val="0"/>
        </w:numPr>
      </w:pPr>
      <w:bookmarkStart w:id="23" w:name="_Toc76458931"/>
      <w:bookmarkStart w:id="24" w:name="_Toc75790565"/>
      <w:bookmarkStart w:id="25" w:name="_Toc76476747"/>
      <w:r>
        <w:rPr>
          <w:rFonts w:hint="eastAsia"/>
        </w:rPr>
        <w:t xml:space="preserve">    二、评价工作情况</w:t>
      </w:r>
      <w:bookmarkEnd w:id="23"/>
      <w:bookmarkEnd w:id="24"/>
      <w:bookmarkEnd w:id="25"/>
    </w:p>
    <w:p>
      <w:pPr>
        <w:pStyle w:val="24"/>
        <w:numPr>
          <w:ilvl w:val="1"/>
          <w:numId w:val="0"/>
        </w:numPr>
      </w:pPr>
      <w:bookmarkStart w:id="26" w:name="_Toc75790566"/>
      <w:bookmarkStart w:id="27" w:name="_Toc76476748"/>
      <w:bookmarkStart w:id="28" w:name="_Toc76458932"/>
      <w:r>
        <w:rPr>
          <w:rFonts w:hint="eastAsia"/>
        </w:rPr>
        <w:t xml:space="preserve">    </w:t>
      </w:r>
      <w:r>
        <w:rPr>
          <w:rFonts w:hint="eastAsia" w:ascii="楷体" w:hAnsi="楷体" w:cs="楷体"/>
        </w:rPr>
        <w:t>（一）评价目的</w:t>
      </w:r>
      <w:bookmarkEnd w:id="26"/>
      <w:bookmarkEnd w:id="27"/>
      <w:bookmarkEnd w:id="28"/>
    </w:p>
    <w:p>
      <w:pPr>
        <w:pStyle w:val="19"/>
      </w:pPr>
      <w:r>
        <w:rPr>
          <w:rFonts w:hint="eastAsia"/>
        </w:rPr>
        <w:t>部门支出绩效评价是围绕部门职能，洞悉部门人、财、物资源与部门职能的匹配情况，进而从更为宽泛的层面把握部门（单位）的职能履行情况，从整体支出效益分析中精确地查找问题，有的放矢地进行卓有成效的改进。</w:t>
      </w:r>
    </w:p>
    <w:p>
      <w:pPr>
        <w:pStyle w:val="19"/>
      </w:pPr>
      <w:r>
        <w:rPr>
          <w:rFonts w:hint="eastAsia"/>
        </w:rPr>
        <w:t>通过收集甘肃省人民代表大会常务委员会部门职能、部门管理、部门职能履行方式方法、预算编制依据、预算明细、支出明细、相关内部控制制度、工作计划完成情况等信息，分析部门职责的履行情况、部门运行的有效情况、部门职能的实现程度，确保甘肃省人民代表大会常务委员会职能与事权相匹配、事权与财力相匹配，总结经验做法，找出资金使用和管理中的薄弱环节，提出改进建议，提高部门支出的整体效果和财政资金的使用效率。</w:t>
      </w:r>
    </w:p>
    <w:p>
      <w:pPr>
        <w:pStyle w:val="24"/>
        <w:numPr>
          <w:ilvl w:val="1"/>
          <w:numId w:val="0"/>
        </w:numPr>
      </w:pPr>
      <w:bookmarkStart w:id="29" w:name="_Toc76476749"/>
      <w:bookmarkStart w:id="30" w:name="_Toc75790567"/>
      <w:bookmarkStart w:id="31" w:name="_Toc76458933"/>
      <w:r>
        <w:rPr>
          <w:rFonts w:hint="eastAsia"/>
        </w:rPr>
        <w:t xml:space="preserve">    （二）评价依据</w:t>
      </w:r>
      <w:bookmarkEnd w:id="29"/>
      <w:bookmarkEnd w:id="30"/>
      <w:bookmarkEnd w:id="31"/>
    </w:p>
    <w:p>
      <w:pPr>
        <w:pStyle w:val="19"/>
      </w:pPr>
      <w:r>
        <w:rPr>
          <w:rFonts w:hint="eastAsia"/>
        </w:rPr>
        <w:t>部门整体支出绩效评价是围绕部门整体战略目标和职能实现程度的综合评价，是政府综合效能评价的核心。财政部《关于印发</w:t>
      </w:r>
      <w:r>
        <w:t>&lt;预算绩效管理工作规划（2012-2015年）&gt;的通知》（财预〔2012〕396号）中提到：应“通过开展部门支出管理绩效综合评价，促进部门从整体上提升预算绩效管理工作水平，提高财政资金使用效益，保障部门更好地履行职责”。第十二届全国人民代表大会常务委员会第十次会议表决通过的《中华人民共和国预算法》第五十七条明确指出“各级政府、各部门、各单位应当对预算支出情况开展绩效评价。”</w:t>
      </w:r>
    </w:p>
    <w:p>
      <w:pPr>
        <w:pStyle w:val="19"/>
        <w:ind w:firstLine="0" w:firstLineChars="0"/>
      </w:pPr>
      <w:r>
        <w:rPr>
          <w:rFonts w:hint="eastAsia"/>
        </w:rPr>
        <w:t xml:space="preserve">    为做好甘肃省财政预算绩效管理工作，更好地指导和规范甘肃省财政的预算安排、使用和评价反馈，提升财政资金的使用效益，甘肃省财政厅发布《甘肃省财政厅关于开展</w:t>
      </w:r>
      <w:r>
        <w:t>2020年度省级预算执行情况绩效部门评价和财政评价的工作通知》（甘财绩〔202</w:t>
      </w:r>
      <w:r>
        <w:rPr>
          <w:rFonts w:hint="eastAsia"/>
        </w:rPr>
        <w:t>1</w:t>
      </w:r>
      <w:r>
        <w:t>〕4号），提出“预算部门要根据财政部门的要求，编制部门整体支出绩效目标，以反映部门整体支出与实现本部门事业规划的关联性、经济性、效益性和效率性，促进部门整体支出绩效的提升”。</w:t>
      </w:r>
    </w:p>
    <w:p>
      <w:pPr>
        <w:pStyle w:val="19"/>
      </w:pPr>
      <w:r>
        <w:rPr>
          <w:rFonts w:hint="eastAsia"/>
        </w:rPr>
        <w:t>本次绩效评价遵循的政策文件具体包括：财政部《财政支出绩效评价管理暂行办法》（财预〔</w:t>
      </w:r>
      <w:r>
        <w:t>2011〕285号）、《关于推进预算绩效管理的指导意见》（财预〔2011〕416号）、《预算绩效管理工作考核办法（试行）》（财预〔2011〕433号）、《预算绩效管理工作规划（2012-2015年）》（财预〔2012〕396号）、《预算绩效评价共性指标体系框架》（财预〔2013〕53号）、《中共中央 国务院关于全面实施预算绩效管理的意见》（中发〔2018〕34号）、</w:t>
      </w:r>
      <w:r>
        <w:rPr>
          <w:rFonts w:hint="eastAsia"/>
        </w:rPr>
        <w:t>《甘肃省财政厅关于开展</w:t>
      </w:r>
      <w:r>
        <w:t>2020年度省级预算执行情况绩效部门评价和财政评价的工作通知》（甘财绩〔202</w:t>
      </w:r>
      <w:r>
        <w:rPr>
          <w:rFonts w:hint="eastAsia"/>
        </w:rPr>
        <w:t>1</w:t>
      </w:r>
      <w:r>
        <w:t>〕4号）。</w:t>
      </w:r>
    </w:p>
    <w:p>
      <w:pPr>
        <w:pStyle w:val="24"/>
        <w:numPr>
          <w:ilvl w:val="1"/>
          <w:numId w:val="0"/>
        </w:numPr>
      </w:pPr>
      <w:bookmarkStart w:id="32" w:name="_Toc76458934"/>
      <w:bookmarkStart w:id="33" w:name="_Toc76476750"/>
      <w:bookmarkStart w:id="34" w:name="_Toc75790568"/>
      <w:r>
        <w:rPr>
          <w:rFonts w:hint="eastAsia"/>
        </w:rPr>
        <w:t xml:space="preserve">    （三）评价对象和评价时段</w:t>
      </w:r>
      <w:bookmarkEnd w:id="32"/>
      <w:bookmarkEnd w:id="33"/>
      <w:bookmarkEnd w:id="34"/>
    </w:p>
    <w:p>
      <w:pPr>
        <w:pStyle w:val="19"/>
      </w:pPr>
      <w:r>
        <w:rPr>
          <w:rFonts w:hint="eastAsia"/>
        </w:rPr>
        <w:t>本次绩效评价的对象为甘肃省人民代表大会常务委员会办公厅</w:t>
      </w:r>
      <w:r>
        <w:t>2020年部门整体支出，绩效评价的时段为2020年1月1日至2020年12月31日。</w:t>
      </w:r>
    </w:p>
    <w:p>
      <w:pPr>
        <w:pStyle w:val="24"/>
        <w:numPr>
          <w:ilvl w:val="1"/>
          <w:numId w:val="0"/>
        </w:numPr>
      </w:pPr>
      <w:bookmarkStart w:id="35" w:name="_Toc76458935"/>
      <w:bookmarkStart w:id="36" w:name="_Toc76476751"/>
      <w:bookmarkStart w:id="37" w:name="_Toc75790569"/>
      <w:r>
        <w:rPr>
          <w:rFonts w:hint="eastAsia"/>
        </w:rPr>
        <w:t xml:space="preserve">    （四）数据采集方法及过程</w:t>
      </w:r>
      <w:bookmarkEnd w:id="35"/>
      <w:bookmarkEnd w:id="36"/>
      <w:bookmarkEnd w:id="37"/>
    </w:p>
    <w:p>
      <w:pPr>
        <w:pStyle w:val="19"/>
      </w:pPr>
      <w:r>
        <w:rPr>
          <w:rFonts w:hint="eastAsia"/>
        </w:rPr>
        <w:t>自</w:t>
      </w:r>
      <w:r>
        <w:t>2021年5月10日评价项目启动以来，评价组通过前期调研的充分准备，完成了评价工作方案，明确了评价的目的、方法、原则、指标、标准、社会调查方案等。两个月来，评价组严格按照工作方案，经过了数据采集、问卷调查、抽样实地调研及数据复核、访谈、数据分析和报告撰写等环节，顺利完成了</w:t>
      </w:r>
      <w:r>
        <w:rPr>
          <w:rFonts w:hint="eastAsia"/>
        </w:rPr>
        <w:t>甘肃省人民代表大会常务委员会办公厅</w:t>
      </w:r>
      <w:r>
        <w:t>2020年部门整体支出评价工作。</w:t>
      </w:r>
      <w:bookmarkStart w:id="38" w:name="_Toc75788758"/>
    </w:p>
    <w:p>
      <w:pPr>
        <w:pStyle w:val="19"/>
        <w:ind w:firstLine="643"/>
        <w:rPr>
          <w:rFonts w:cs="Times New Roman"/>
          <w:b/>
          <w:bCs/>
        </w:rPr>
      </w:pPr>
      <w:r>
        <w:rPr>
          <w:rFonts w:cs="Times New Roman"/>
          <w:b/>
          <w:bCs/>
        </w:rPr>
        <w:t>1.基础表填写</w:t>
      </w:r>
      <w:bookmarkEnd w:id="38"/>
    </w:p>
    <w:p>
      <w:pPr>
        <w:pStyle w:val="19"/>
      </w:pPr>
      <w:r>
        <w:rPr>
          <w:rFonts w:hint="eastAsia"/>
        </w:rPr>
        <w:t>在甘肃省人民代表大会常务委员会办公厅的支持和配合下，</w:t>
      </w:r>
      <w:r>
        <w:t>2021年6月完成了基础表的填写，评价组于2021年6月19日至20日对填制的基础数据进行了数据复核。</w:t>
      </w:r>
    </w:p>
    <w:p>
      <w:pPr>
        <w:pStyle w:val="25"/>
        <w:numPr>
          <w:ilvl w:val="2"/>
          <w:numId w:val="0"/>
        </w:numPr>
      </w:pPr>
      <w:bookmarkStart w:id="39" w:name="_Toc75788759"/>
      <w:r>
        <w:rPr>
          <w:rFonts w:hint="eastAsia"/>
        </w:rPr>
        <w:t xml:space="preserve">    2.实地访谈和核查调研</w:t>
      </w:r>
      <w:bookmarkEnd w:id="39"/>
    </w:p>
    <w:p>
      <w:pPr>
        <w:pStyle w:val="19"/>
      </w:pPr>
      <w:r>
        <w:rPr>
          <w:rFonts w:hint="eastAsia"/>
        </w:rPr>
        <w:t>评价组根据实际工作进展情况，共安排了两次实地核查。第一次实地核查时间为</w:t>
      </w:r>
      <w:r>
        <w:t>2021年5月27日至5月28日，根据工作方案，评价组对</w:t>
      </w:r>
      <w:r>
        <w:rPr>
          <w:rFonts w:hint="eastAsia"/>
        </w:rPr>
        <w:t>甘肃省人民代表大会常务委员会办公厅</w:t>
      </w:r>
      <w:r>
        <w:t>进行了实地调研，调研内容包括固定资产核查、财务凭证核查、基础表数据复核、访谈以及相关文件档案管理情况核查等，针对</w:t>
      </w:r>
      <w:r>
        <w:rPr>
          <w:rFonts w:hint="eastAsia"/>
        </w:rPr>
        <w:t>甘肃省人民代表大会常务委员会办公厅</w:t>
      </w:r>
      <w:r>
        <w:t>2020年部门整体支出的方向、成绩与效益、问题与进一步完善意见建议等问题进行详细了解；第二次实地核查时间为2021年6月3日至6月6日，评价组对</w:t>
      </w:r>
      <w:r>
        <w:rPr>
          <w:rFonts w:hint="eastAsia"/>
        </w:rPr>
        <w:t>甘肃省人民代表大会常务委员会办公厅</w:t>
      </w:r>
      <w:r>
        <w:t>进行实地访谈和调研。</w:t>
      </w:r>
    </w:p>
    <w:p>
      <w:pPr>
        <w:pStyle w:val="25"/>
        <w:numPr>
          <w:ilvl w:val="2"/>
          <w:numId w:val="0"/>
        </w:numPr>
      </w:pPr>
      <w:bookmarkStart w:id="40" w:name="_Toc75788760"/>
      <w:r>
        <w:rPr>
          <w:rFonts w:hint="eastAsia"/>
        </w:rPr>
        <w:t xml:space="preserve">    3.满意度问卷调研</w:t>
      </w:r>
      <w:bookmarkEnd w:id="40"/>
    </w:p>
    <w:p>
      <w:pPr>
        <w:pStyle w:val="19"/>
      </w:pPr>
      <w:r>
        <w:rPr>
          <w:rFonts w:hint="eastAsia"/>
        </w:rPr>
        <w:t>甘肃省人民代表大会常务委员会办公厅</w:t>
      </w:r>
      <w:r>
        <w:t>20</w:t>
      </w:r>
      <w:r>
        <w:rPr>
          <w:rFonts w:hint="eastAsia"/>
        </w:rPr>
        <w:t>20</w:t>
      </w:r>
      <w:r>
        <w:t>年度部门整体支出评价项目计划抽样30份问卷，回收问卷共28份，调研对象为甘肃省人民代表大会常务委员会职工，满意度调研报告详见附件2。</w:t>
      </w:r>
    </w:p>
    <w:p>
      <w:pPr>
        <w:pStyle w:val="25"/>
        <w:numPr>
          <w:ilvl w:val="2"/>
          <w:numId w:val="0"/>
        </w:numPr>
      </w:pPr>
      <w:bookmarkStart w:id="41" w:name="_Toc75788761"/>
      <w:r>
        <w:rPr>
          <w:rFonts w:hint="eastAsia"/>
        </w:rPr>
        <w:t xml:space="preserve">    4.</w:t>
      </w:r>
      <w:r>
        <w:t>数据分析及撰写报告</w:t>
      </w:r>
      <w:bookmarkEnd w:id="41"/>
    </w:p>
    <w:p>
      <w:pPr>
        <w:pStyle w:val="19"/>
      </w:pPr>
      <w:r>
        <w:t>2021年6月初到6月下旬，评价组根据部门整体支出评价的原理和规范，对采集的数据进行处理、分析和评分，并提炼结论撰写报告，上报委托方。</w:t>
      </w:r>
    </w:p>
    <w:p>
      <w:pPr>
        <w:pStyle w:val="21"/>
        <w:numPr>
          <w:ilvl w:val="0"/>
          <w:numId w:val="0"/>
        </w:numPr>
      </w:pPr>
      <w:bookmarkStart w:id="42" w:name="_Toc76476752"/>
      <w:bookmarkStart w:id="43" w:name="_Toc75790570"/>
      <w:bookmarkStart w:id="44" w:name="_Toc76458936"/>
      <w:r>
        <w:rPr>
          <w:rFonts w:hint="eastAsia"/>
        </w:rPr>
        <w:t xml:space="preserve">    三、评价结论与部门成效</w:t>
      </w:r>
      <w:bookmarkEnd w:id="42"/>
      <w:bookmarkEnd w:id="43"/>
      <w:bookmarkEnd w:id="44"/>
    </w:p>
    <w:p>
      <w:pPr>
        <w:pStyle w:val="24"/>
        <w:numPr>
          <w:ilvl w:val="1"/>
          <w:numId w:val="0"/>
        </w:numPr>
      </w:pPr>
      <w:bookmarkStart w:id="45" w:name="_Toc75790571"/>
      <w:bookmarkStart w:id="46" w:name="_Toc76476753"/>
      <w:bookmarkStart w:id="47" w:name="_Toc76458937"/>
      <w:r>
        <w:rPr>
          <w:rFonts w:hint="eastAsia"/>
        </w:rPr>
        <w:t xml:space="preserve">    （一）评价结论</w:t>
      </w:r>
      <w:bookmarkEnd w:id="45"/>
      <w:bookmarkEnd w:id="46"/>
      <w:bookmarkEnd w:id="47"/>
    </w:p>
    <w:p>
      <w:pPr>
        <w:pStyle w:val="19"/>
        <w:ind w:firstLine="0" w:firstLineChars="0"/>
      </w:pPr>
      <w:r>
        <w:rPr>
          <w:rFonts w:hint="eastAsia"/>
        </w:rPr>
        <w:t xml:space="preserve">    运用由评价组研发的评价指标体系及评分标准，通过数据采集、问卷调查及访谈，对</w:t>
      </w:r>
      <w:r>
        <w:t>2020年</w:t>
      </w:r>
      <w:r>
        <w:rPr>
          <w:rFonts w:hint="eastAsia"/>
        </w:rPr>
        <w:t>甘肃省人民代表大会常务委员会办公厅</w:t>
      </w:r>
      <w:r>
        <w:t>部门整体支出评价项目进行客观评价，最终评分结果：总得分为96.02分，属于“优”。部门整体支出绩效评价指标得分情况详见表3-1。</w:t>
      </w:r>
    </w:p>
    <w:p>
      <w:pPr>
        <w:pStyle w:val="37"/>
      </w:pPr>
      <w:r>
        <w:rPr>
          <w:rFonts w:hint="eastAsia"/>
        </w:rPr>
        <w:t>表</w:t>
      </w:r>
      <w:r>
        <w:t>3-1 绩效评价指标得分情况汇总表</w:t>
      </w:r>
    </w:p>
    <w:tbl>
      <w:tblPr>
        <w:tblStyle w:val="16"/>
        <w:tblW w:w="82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52"/>
        <w:gridCol w:w="1983"/>
        <w:gridCol w:w="1983"/>
        <w:gridCol w:w="1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2452" w:type="dxa"/>
            <w:shd w:val="clear" w:color="auto" w:fill="auto"/>
            <w:vAlign w:val="center"/>
          </w:tcPr>
          <w:p>
            <w:pPr>
              <w:pStyle w:val="37"/>
              <w:rPr>
                <w:b/>
                <w:bCs/>
              </w:rPr>
            </w:pPr>
            <w:r>
              <w:rPr>
                <w:b/>
                <w:bCs/>
              </w:rPr>
              <w:t>一级指标</w:t>
            </w:r>
          </w:p>
        </w:tc>
        <w:tc>
          <w:tcPr>
            <w:tcW w:w="1983" w:type="dxa"/>
            <w:shd w:val="clear" w:color="auto" w:fill="auto"/>
            <w:vAlign w:val="center"/>
          </w:tcPr>
          <w:p>
            <w:pPr>
              <w:pStyle w:val="37"/>
              <w:rPr>
                <w:b/>
                <w:bCs/>
              </w:rPr>
            </w:pPr>
            <w:r>
              <w:rPr>
                <w:b/>
                <w:bCs/>
              </w:rPr>
              <w:t>权重</w:t>
            </w:r>
          </w:p>
        </w:tc>
        <w:tc>
          <w:tcPr>
            <w:tcW w:w="1983" w:type="dxa"/>
            <w:shd w:val="clear" w:color="auto" w:fill="auto"/>
            <w:vAlign w:val="center"/>
          </w:tcPr>
          <w:p>
            <w:pPr>
              <w:pStyle w:val="37"/>
              <w:rPr>
                <w:b/>
                <w:bCs/>
              </w:rPr>
            </w:pPr>
            <w:r>
              <w:rPr>
                <w:b/>
                <w:bCs/>
              </w:rPr>
              <w:t>得分</w:t>
            </w:r>
          </w:p>
        </w:tc>
        <w:tc>
          <w:tcPr>
            <w:tcW w:w="1804" w:type="dxa"/>
            <w:tcBorders>
              <w:bottom w:val="single" w:color="auto" w:sz="4" w:space="0"/>
            </w:tcBorders>
            <w:shd w:val="clear" w:color="auto" w:fill="auto"/>
            <w:vAlign w:val="center"/>
          </w:tcPr>
          <w:p>
            <w:pPr>
              <w:pStyle w:val="37"/>
              <w:rPr>
                <w:b/>
                <w:bCs/>
              </w:rPr>
            </w:pPr>
            <w:r>
              <w:rPr>
                <w:b/>
                <w:bCs/>
              </w:rP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2452" w:type="dxa"/>
            <w:shd w:val="clear" w:color="auto" w:fill="auto"/>
            <w:vAlign w:val="center"/>
          </w:tcPr>
          <w:p>
            <w:pPr>
              <w:pStyle w:val="37"/>
            </w:pPr>
            <w:r>
              <w:rPr>
                <w:rFonts w:hint="eastAsia"/>
              </w:rPr>
              <w:t>部门决策</w:t>
            </w:r>
          </w:p>
        </w:tc>
        <w:tc>
          <w:tcPr>
            <w:tcW w:w="1983" w:type="dxa"/>
            <w:shd w:val="clear" w:color="auto" w:fill="auto"/>
            <w:vAlign w:val="center"/>
          </w:tcPr>
          <w:p>
            <w:pPr>
              <w:pStyle w:val="37"/>
            </w:pPr>
            <w:r>
              <w:t>17</w:t>
            </w:r>
          </w:p>
        </w:tc>
        <w:tc>
          <w:tcPr>
            <w:tcW w:w="1983" w:type="dxa"/>
            <w:shd w:val="clear" w:color="auto" w:fill="auto"/>
            <w:vAlign w:val="center"/>
          </w:tcPr>
          <w:p>
            <w:pPr>
              <w:pStyle w:val="37"/>
            </w:pPr>
            <w:r>
              <w:rPr>
                <w:rFonts w:hint="eastAsia"/>
              </w:rPr>
              <w:t>15.83</w:t>
            </w:r>
          </w:p>
        </w:tc>
        <w:tc>
          <w:tcPr>
            <w:tcW w:w="1804" w:type="dxa"/>
            <w:tcBorders>
              <w:bottom w:val="single" w:color="auto" w:sz="4" w:space="0"/>
            </w:tcBorders>
            <w:shd w:val="clear" w:color="auto" w:fill="auto"/>
            <w:vAlign w:val="center"/>
          </w:tcPr>
          <w:p>
            <w:pPr>
              <w:pStyle w:val="37"/>
            </w:pPr>
            <w:r>
              <w:t>93.11%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shd w:val="clear" w:color="auto" w:fill="auto"/>
            <w:vAlign w:val="center"/>
          </w:tcPr>
          <w:p>
            <w:pPr>
              <w:pStyle w:val="37"/>
            </w:pPr>
            <w:r>
              <w:rPr>
                <w:rFonts w:hint="eastAsia"/>
              </w:rPr>
              <w:t>部门管理</w:t>
            </w:r>
          </w:p>
        </w:tc>
        <w:tc>
          <w:tcPr>
            <w:tcW w:w="1983" w:type="dxa"/>
            <w:shd w:val="clear" w:color="auto" w:fill="auto"/>
            <w:vAlign w:val="center"/>
          </w:tcPr>
          <w:p>
            <w:pPr>
              <w:pStyle w:val="37"/>
            </w:pPr>
            <w:r>
              <w:t>27</w:t>
            </w:r>
          </w:p>
        </w:tc>
        <w:tc>
          <w:tcPr>
            <w:tcW w:w="1983" w:type="dxa"/>
            <w:shd w:val="clear" w:color="auto" w:fill="auto"/>
            <w:vAlign w:val="center"/>
          </w:tcPr>
          <w:p>
            <w:pPr>
              <w:pStyle w:val="37"/>
            </w:pPr>
            <w:r>
              <w:rPr>
                <w:rFonts w:hint="eastAsia"/>
              </w:rPr>
              <w:t>2</w:t>
            </w:r>
            <w:r>
              <w:t>4.19</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8</w:t>
            </w:r>
            <w:r>
              <w:t>9.59%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shd w:val="clear" w:color="auto" w:fill="auto"/>
            <w:vAlign w:val="center"/>
          </w:tcPr>
          <w:p>
            <w:pPr>
              <w:pStyle w:val="37"/>
            </w:pPr>
            <w:r>
              <w:rPr>
                <w:rFonts w:hint="eastAsia"/>
              </w:rPr>
              <w:t>部门履职</w:t>
            </w:r>
          </w:p>
        </w:tc>
        <w:tc>
          <w:tcPr>
            <w:tcW w:w="1983" w:type="dxa"/>
            <w:shd w:val="clear" w:color="auto" w:fill="auto"/>
            <w:vAlign w:val="center"/>
          </w:tcPr>
          <w:p>
            <w:pPr>
              <w:pStyle w:val="37"/>
            </w:pPr>
            <w:r>
              <w:t>44</w:t>
            </w:r>
          </w:p>
        </w:tc>
        <w:tc>
          <w:tcPr>
            <w:tcW w:w="1983" w:type="dxa"/>
            <w:shd w:val="clear" w:color="auto" w:fill="auto"/>
            <w:vAlign w:val="center"/>
          </w:tcPr>
          <w:p>
            <w:pPr>
              <w:pStyle w:val="37"/>
            </w:pPr>
            <w:r>
              <w:rPr>
                <w:rFonts w:hint="eastAsia"/>
              </w:rPr>
              <w:t>44</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vAlign w:val="center"/>
          </w:tcPr>
          <w:p>
            <w:pPr>
              <w:pStyle w:val="37"/>
            </w:pPr>
            <w:r>
              <w:rPr>
                <w:rFonts w:hint="eastAsia"/>
              </w:rPr>
              <w:t>部门能力建设</w:t>
            </w:r>
          </w:p>
        </w:tc>
        <w:tc>
          <w:tcPr>
            <w:tcW w:w="1983" w:type="dxa"/>
            <w:shd w:val="clear" w:color="auto" w:fill="auto"/>
            <w:vAlign w:val="center"/>
          </w:tcPr>
          <w:p>
            <w:pPr>
              <w:pStyle w:val="37"/>
            </w:pPr>
            <w:r>
              <w:t>12</w:t>
            </w:r>
          </w:p>
        </w:tc>
        <w:tc>
          <w:tcPr>
            <w:tcW w:w="1983" w:type="dxa"/>
            <w:tcBorders>
              <w:right w:val="single" w:color="auto" w:sz="4" w:space="0"/>
            </w:tcBorders>
            <w:shd w:val="clear" w:color="auto" w:fill="auto"/>
            <w:vAlign w:val="center"/>
          </w:tcPr>
          <w:p>
            <w:pPr>
              <w:pStyle w:val="37"/>
            </w:pPr>
            <w:r>
              <w:rPr>
                <w:rFonts w:hint="eastAsia"/>
              </w:rPr>
              <w:t>12</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pPr>
            <w:r>
              <w:rPr>
                <w:rFonts w:hint="eastAsia"/>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vAlign w:val="center"/>
          </w:tcPr>
          <w:p>
            <w:pPr>
              <w:pStyle w:val="37"/>
            </w:pPr>
            <w:r>
              <w:t>合计</w:t>
            </w:r>
          </w:p>
        </w:tc>
        <w:tc>
          <w:tcPr>
            <w:tcW w:w="1983" w:type="dxa"/>
            <w:shd w:val="clear" w:color="auto" w:fill="auto"/>
            <w:vAlign w:val="center"/>
          </w:tcPr>
          <w:p>
            <w:pPr>
              <w:pStyle w:val="37"/>
            </w:pPr>
            <w:r>
              <w:rPr>
                <w:rFonts w:hint="eastAsia"/>
              </w:rPr>
              <w:t>100</w:t>
            </w:r>
          </w:p>
        </w:tc>
        <w:tc>
          <w:tcPr>
            <w:tcW w:w="1983" w:type="dxa"/>
            <w:shd w:val="clear" w:color="auto" w:fill="auto"/>
            <w:vAlign w:val="center"/>
          </w:tcPr>
          <w:p>
            <w:pPr>
              <w:pStyle w:val="37"/>
            </w:pPr>
            <w:r>
              <w:t>96.02</w:t>
            </w:r>
          </w:p>
        </w:tc>
        <w:tc>
          <w:tcPr>
            <w:tcW w:w="1804" w:type="dxa"/>
            <w:tcBorders>
              <w:top w:val="single" w:color="auto" w:sz="4" w:space="0"/>
            </w:tcBorders>
            <w:shd w:val="clear" w:color="auto" w:fill="auto"/>
            <w:vAlign w:val="center"/>
          </w:tcPr>
          <w:p>
            <w:pPr>
              <w:pStyle w:val="37"/>
            </w:pPr>
            <w:r>
              <w:t>96.02%</w:t>
            </w:r>
          </w:p>
        </w:tc>
      </w:tr>
    </w:tbl>
    <w:p>
      <w:pPr>
        <w:pStyle w:val="37"/>
      </w:pPr>
    </w:p>
    <w:p>
      <w:pPr>
        <w:pStyle w:val="24"/>
        <w:numPr>
          <w:ilvl w:val="1"/>
          <w:numId w:val="0"/>
        </w:numPr>
      </w:pPr>
      <w:bookmarkStart w:id="48" w:name="_Toc76458938"/>
      <w:bookmarkStart w:id="49" w:name="_Toc75790572"/>
      <w:bookmarkStart w:id="50" w:name="_Toc76476754"/>
      <w:r>
        <w:rPr>
          <w:rFonts w:hint="eastAsia"/>
        </w:rPr>
        <w:t xml:space="preserve">    （二）部门履职情况和绩效</w:t>
      </w:r>
      <w:bookmarkEnd w:id="48"/>
      <w:bookmarkEnd w:id="49"/>
      <w:bookmarkEnd w:id="50"/>
    </w:p>
    <w:p>
      <w:pPr>
        <w:pStyle w:val="25"/>
        <w:numPr>
          <w:ilvl w:val="2"/>
          <w:numId w:val="0"/>
        </w:numPr>
      </w:pPr>
      <w:bookmarkStart w:id="51" w:name="_Toc75788765"/>
      <w:r>
        <w:rPr>
          <w:rFonts w:hint="eastAsia"/>
        </w:rPr>
        <w:t xml:space="preserve">    部门履职</w:t>
      </w:r>
      <w:bookmarkEnd w:id="51"/>
    </w:p>
    <w:p>
      <w:pPr>
        <w:pStyle w:val="19"/>
      </w:pPr>
      <w:r>
        <w:rPr>
          <w:rFonts w:hint="eastAsia"/>
        </w:rPr>
        <w:t>（</w:t>
      </w:r>
      <w:r>
        <w:t>1）履职计划</w:t>
      </w:r>
    </w:p>
    <w:p>
      <w:pPr>
        <w:pStyle w:val="19"/>
      </w:pPr>
      <w:r>
        <w:rPr>
          <w:rFonts w:hint="eastAsia"/>
        </w:rPr>
        <w:t>部门履职计划指标从组织召开各类会议及培训完成率、公文服务及公文处理完成率、信访工作完成率、脱贫攻坚工作完成率、部门职工工资发放保障率</w:t>
      </w:r>
      <w:r>
        <w:t>5个方面进行考察。部门履职指标权重25分，实际得24.5分。部门履职指标的得分情况如表3-2所示。</w:t>
      </w:r>
    </w:p>
    <w:p>
      <w:pPr>
        <w:pStyle w:val="37"/>
      </w:pPr>
      <w:r>
        <w:t>表</w:t>
      </w:r>
      <w:r>
        <w:rPr>
          <w:rFonts w:hint="eastAsia"/>
        </w:rPr>
        <w:t>3</w:t>
      </w:r>
      <w:r>
        <w:t>-2 部门履职计划指标得分情况</w:t>
      </w:r>
    </w:p>
    <w:tbl>
      <w:tblPr>
        <w:tblStyle w:val="16"/>
        <w:tblW w:w="8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9"/>
        <w:gridCol w:w="981"/>
        <w:gridCol w:w="981"/>
        <w:gridCol w:w="981"/>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3469" w:type="dxa"/>
            <w:shd w:val="clear" w:color="auto" w:fill="auto"/>
            <w:vAlign w:val="center"/>
          </w:tcPr>
          <w:p>
            <w:pPr>
              <w:pStyle w:val="37"/>
              <w:rPr>
                <w:b/>
                <w:bCs/>
              </w:rPr>
            </w:pPr>
            <w:r>
              <w:rPr>
                <w:b/>
                <w:bCs/>
              </w:rPr>
              <w:t>三级指标</w:t>
            </w:r>
          </w:p>
        </w:tc>
        <w:tc>
          <w:tcPr>
            <w:tcW w:w="981" w:type="dxa"/>
            <w:shd w:val="clear" w:color="auto" w:fill="auto"/>
            <w:vAlign w:val="center"/>
          </w:tcPr>
          <w:p>
            <w:pPr>
              <w:pStyle w:val="37"/>
              <w:rPr>
                <w:b/>
                <w:bCs/>
              </w:rPr>
            </w:pPr>
            <w:r>
              <w:rPr>
                <w:b/>
                <w:bCs/>
              </w:rPr>
              <w:t>权重</w:t>
            </w:r>
          </w:p>
        </w:tc>
        <w:tc>
          <w:tcPr>
            <w:tcW w:w="981" w:type="dxa"/>
            <w:shd w:val="clear" w:color="auto" w:fill="auto"/>
            <w:vAlign w:val="center"/>
          </w:tcPr>
          <w:p>
            <w:pPr>
              <w:pStyle w:val="37"/>
              <w:rPr>
                <w:b/>
                <w:bCs/>
              </w:rPr>
            </w:pPr>
            <w:r>
              <w:rPr>
                <w:b/>
                <w:bCs/>
              </w:rPr>
              <w:t>标杆值</w:t>
            </w:r>
          </w:p>
        </w:tc>
        <w:tc>
          <w:tcPr>
            <w:tcW w:w="981" w:type="dxa"/>
            <w:shd w:val="clear" w:color="auto" w:fill="auto"/>
            <w:vAlign w:val="center"/>
          </w:tcPr>
          <w:p>
            <w:pPr>
              <w:pStyle w:val="37"/>
              <w:rPr>
                <w:b/>
                <w:bCs/>
              </w:rPr>
            </w:pPr>
            <w:r>
              <w:rPr>
                <w:b/>
                <w:bCs/>
              </w:rPr>
              <w:t>业绩值</w:t>
            </w:r>
          </w:p>
        </w:tc>
        <w:tc>
          <w:tcPr>
            <w:tcW w:w="981" w:type="dxa"/>
            <w:shd w:val="clear" w:color="auto" w:fill="auto"/>
            <w:vAlign w:val="center"/>
          </w:tcPr>
          <w:p>
            <w:pPr>
              <w:pStyle w:val="37"/>
              <w:rPr>
                <w:b/>
                <w:bCs/>
              </w:rPr>
            </w:pPr>
            <w:r>
              <w:rPr>
                <w:b/>
                <w:bCs/>
              </w:rPr>
              <w:t>得分率</w:t>
            </w:r>
          </w:p>
        </w:tc>
        <w:tc>
          <w:tcPr>
            <w:tcW w:w="981" w:type="dxa"/>
            <w:shd w:val="clear" w:color="auto" w:fill="auto"/>
            <w:vAlign w:val="center"/>
          </w:tcPr>
          <w:p>
            <w:pPr>
              <w:pStyle w:val="37"/>
              <w:rPr>
                <w:b/>
                <w:bCs/>
              </w:rPr>
            </w:pPr>
            <w:r>
              <w:rPr>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37"/>
              <w:jc w:val="both"/>
              <w:rPr>
                <w:highlight w:val="cyan"/>
              </w:rPr>
            </w:pPr>
            <w:r>
              <w:rPr>
                <w:rFonts w:hint="eastAsia"/>
              </w:rPr>
              <w:t>C</w:t>
            </w:r>
            <w:r>
              <w:t>11</w:t>
            </w:r>
            <w:r>
              <w:rPr>
                <w:rFonts w:hint="eastAsia"/>
              </w:rPr>
              <w:t>组织召开各类会议及培训完成率</w:t>
            </w:r>
          </w:p>
        </w:tc>
        <w:tc>
          <w:tcPr>
            <w:tcW w:w="981" w:type="dxa"/>
            <w:vAlign w:val="center"/>
          </w:tcPr>
          <w:p>
            <w:pPr>
              <w:pStyle w:val="37"/>
              <w:rPr>
                <w:highlight w:val="cyan"/>
              </w:rPr>
            </w:pPr>
            <w:r>
              <w:t>5</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37"/>
              <w:jc w:val="both"/>
              <w:rPr>
                <w:highlight w:val="cyan"/>
              </w:rPr>
            </w:pPr>
            <w:r>
              <w:rPr>
                <w:rFonts w:hint="eastAsia"/>
              </w:rPr>
              <w:t>C</w:t>
            </w:r>
            <w:r>
              <w:t>12</w:t>
            </w:r>
            <w:r>
              <w:rPr>
                <w:rFonts w:hint="eastAsia"/>
              </w:rPr>
              <w:t>公文服务及公文处理完成率</w:t>
            </w:r>
          </w:p>
        </w:tc>
        <w:tc>
          <w:tcPr>
            <w:tcW w:w="981" w:type="dxa"/>
            <w:vAlign w:val="center"/>
          </w:tcPr>
          <w:p>
            <w:pPr>
              <w:pStyle w:val="37"/>
              <w:rPr>
                <w:highlight w:val="cyan"/>
              </w:rPr>
            </w:pPr>
            <w:r>
              <w:t>5</w:t>
            </w:r>
          </w:p>
        </w:tc>
        <w:tc>
          <w:tcPr>
            <w:tcW w:w="981" w:type="dxa"/>
            <w:vAlign w:val="center"/>
          </w:tcPr>
          <w:p>
            <w:pPr>
              <w:pStyle w:val="37"/>
              <w:rPr>
                <w:highlight w:val="cyan"/>
              </w:rPr>
            </w:pPr>
            <w:r>
              <w:t>100%</w:t>
            </w:r>
          </w:p>
        </w:tc>
        <w:tc>
          <w:tcPr>
            <w:tcW w:w="981" w:type="dxa"/>
            <w:vAlign w:val="center"/>
          </w:tcPr>
          <w:p>
            <w:pPr>
              <w:pStyle w:val="37"/>
              <w:rPr>
                <w:highlight w:val="cyan"/>
              </w:rPr>
            </w:pPr>
            <w:r>
              <w:t>90%</w:t>
            </w:r>
          </w:p>
        </w:tc>
        <w:tc>
          <w:tcPr>
            <w:tcW w:w="981" w:type="dxa"/>
            <w:vAlign w:val="center"/>
          </w:tcPr>
          <w:p>
            <w:pPr>
              <w:pStyle w:val="37"/>
              <w:rPr>
                <w:highlight w:val="cyan"/>
              </w:rPr>
            </w:pPr>
            <w:r>
              <w:t>90%</w:t>
            </w:r>
          </w:p>
        </w:tc>
        <w:tc>
          <w:tcPr>
            <w:tcW w:w="981" w:type="dxa"/>
            <w:vAlign w:val="center"/>
          </w:tcPr>
          <w:p>
            <w:pPr>
              <w:pStyle w:val="37"/>
              <w:rPr>
                <w:highlight w:val="cyan"/>
              </w:rPr>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37"/>
              <w:jc w:val="both"/>
              <w:rPr>
                <w:highlight w:val="cyan"/>
              </w:rPr>
            </w:pPr>
            <w:r>
              <w:rPr>
                <w:rFonts w:hint="eastAsia"/>
              </w:rPr>
              <w:t>C</w:t>
            </w:r>
            <w:r>
              <w:t>13</w:t>
            </w:r>
            <w:r>
              <w:rPr>
                <w:rFonts w:hint="eastAsia"/>
              </w:rPr>
              <w:t>信访工作完成率</w:t>
            </w:r>
          </w:p>
        </w:tc>
        <w:tc>
          <w:tcPr>
            <w:tcW w:w="981" w:type="dxa"/>
            <w:vAlign w:val="center"/>
          </w:tcPr>
          <w:p>
            <w:pPr>
              <w:pStyle w:val="37"/>
              <w:rPr>
                <w:highlight w:val="cyan"/>
              </w:rPr>
            </w:pPr>
            <w:r>
              <w:t>5</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37"/>
              <w:jc w:val="both"/>
              <w:rPr>
                <w:highlight w:val="cyan"/>
              </w:rPr>
            </w:pPr>
            <w:r>
              <w:rPr>
                <w:rFonts w:hint="eastAsia"/>
              </w:rPr>
              <w:t>C</w:t>
            </w:r>
            <w:r>
              <w:t>14</w:t>
            </w:r>
            <w:r>
              <w:rPr>
                <w:rFonts w:hint="eastAsia"/>
              </w:rPr>
              <w:t>脱贫攻坚工作完成率</w:t>
            </w:r>
          </w:p>
        </w:tc>
        <w:tc>
          <w:tcPr>
            <w:tcW w:w="981" w:type="dxa"/>
            <w:vAlign w:val="center"/>
          </w:tcPr>
          <w:p>
            <w:pPr>
              <w:pStyle w:val="37"/>
              <w:rPr>
                <w:highlight w:val="cyan"/>
              </w:rPr>
            </w:pPr>
            <w:r>
              <w:t>5</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37"/>
              <w:jc w:val="both"/>
              <w:rPr>
                <w:highlight w:val="cyan"/>
              </w:rPr>
            </w:pPr>
            <w:r>
              <w:rPr>
                <w:rFonts w:hint="eastAsia"/>
              </w:rPr>
              <w:t>C</w:t>
            </w:r>
            <w:r>
              <w:t>15</w:t>
            </w:r>
            <w:r>
              <w:rPr>
                <w:rFonts w:hint="eastAsia"/>
              </w:rPr>
              <w:t>部门职工工资发放保障率</w:t>
            </w:r>
          </w:p>
        </w:tc>
        <w:tc>
          <w:tcPr>
            <w:tcW w:w="981" w:type="dxa"/>
            <w:vAlign w:val="center"/>
          </w:tcPr>
          <w:p>
            <w:pPr>
              <w:pStyle w:val="37"/>
              <w:rPr>
                <w:highlight w:val="cyan"/>
              </w:rPr>
            </w:pPr>
            <w:r>
              <w:t>5</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100%</w:t>
            </w:r>
          </w:p>
        </w:tc>
        <w:tc>
          <w:tcPr>
            <w:tcW w:w="981" w:type="dxa"/>
            <w:vAlign w:val="center"/>
          </w:tcPr>
          <w:p>
            <w:pPr>
              <w:pStyle w:val="37"/>
              <w:rPr>
                <w:highlight w:val="cyan"/>
              </w:rPr>
            </w:pPr>
            <w:r>
              <w:t>5</w:t>
            </w:r>
          </w:p>
        </w:tc>
      </w:tr>
    </w:tbl>
    <w:p>
      <w:pPr>
        <w:pStyle w:val="19"/>
      </w:pPr>
      <w:r>
        <w:rPr>
          <w:rFonts w:hint="eastAsia"/>
        </w:rPr>
        <w:t>根据评分情况，甘肃省人民代表大会常务委员会办公厅</w:t>
      </w:r>
      <w:r>
        <w:t>2020年部门履职计划指标得分情况较好。</w:t>
      </w:r>
    </w:p>
    <w:p>
      <w:pPr>
        <w:pStyle w:val="19"/>
      </w:pPr>
      <w:bookmarkStart w:id="52" w:name="_Hlk76229767"/>
      <w:r>
        <w:rPr>
          <w:rFonts w:hint="eastAsia"/>
        </w:rPr>
        <w:t>组织召开各类会议及培训完成率方面：截止</w:t>
      </w:r>
      <w:r>
        <w:t>2020年12月31日，</w:t>
      </w:r>
      <w:r>
        <w:rPr>
          <w:rFonts w:hint="eastAsia"/>
        </w:rPr>
        <w:t>甘肃省人民代表大会常务委员会办公厅组织召开省人民代表大会召开1次、论证会座谈会听证会11次、保密培训1次，会议期间后勤服务保障效率达到100%。</w:t>
      </w:r>
    </w:p>
    <w:p>
      <w:pPr>
        <w:pStyle w:val="19"/>
      </w:pPr>
      <w:r>
        <w:rPr>
          <w:rFonts w:hint="eastAsia"/>
        </w:rPr>
        <w:t>公文服务及公文处理完成率方面：</w:t>
      </w:r>
      <w:r>
        <w:t>2020年度</w:t>
      </w:r>
      <w:r>
        <w:rPr>
          <w:rFonts w:hint="eastAsia"/>
        </w:rPr>
        <w:t>甘肃省人民代表大会常务委员会办公厅起草各类文稿</w:t>
      </w:r>
      <w:r>
        <w:t>300份</w:t>
      </w:r>
      <w:r>
        <w:rPr>
          <w:rFonts w:hint="eastAsia"/>
        </w:rPr>
        <w:t>，编印常委公报</w:t>
      </w:r>
      <w:r>
        <w:t>6</w:t>
      </w:r>
      <w:r>
        <w:rPr>
          <w:rFonts w:hint="eastAsia"/>
        </w:rPr>
        <w:t>期，政治任务实现率达到100%。</w:t>
      </w:r>
    </w:p>
    <w:p>
      <w:pPr>
        <w:pStyle w:val="19"/>
      </w:pPr>
      <w:r>
        <w:rPr>
          <w:rFonts w:hint="eastAsia"/>
        </w:rPr>
        <w:t>信访工作完成率方面：</w:t>
      </w:r>
      <w:r>
        <w:t>2020年度</w:t>
      </w:r>
      <w:r>
        <w:rPr>
          <w:rFonts w:hint="eastAsia"/>
        </w:rPr>
        <w:t>甘肃省人民代表大会常务委员会办公厅的信访工作接访完成率达到100%。</w:t>
      </w:r>
    </w:p>
    <w:p>
      <w:pPr>
        <w:pStyle w:val="19"/>
        <w:rPr>
          <w:highlight w:val="cyan"/>
        </w:rPr>
      </w:pPr>
      <w:r>
        <w:rPr>
          <w:rFonts w:hint="eastAsia"/>
        </w:rPr>
        <w:t>脱贫攻坚工作完成率方面：甘肃省人民代表大会常务委员会紧盯目标任务，采取务实措施，加大监督力度，切实履行脱贫攻坚帮扶责任，助力打赢打好脱贫攻坚战。围绕脱贫攻坚兜底保障、贫困县乡镇寄宿制学校冬季供暖、全省特色农业产业发展等进行调研，持续监督检查全省财政扶贫专项资金分配使用，跟踪调研省政府及有关部门对常委会脱贫攻坚“两不愁三保障”政策落实、“两州一县”脱贫攻坚冲刺清零报告审议意见的办理情况，督促有关方面加强改进工作，解决存在问题，巩固提高脱贫攻坚成果。听取审议省政府关于脱贫攻坚工作情况的报告，就健全返贫监测与动态管理机制、推进巩固拓展脱贫攻坚成果同乡村振兴有效衔接等提出建议。</w:t>
      </w:r>
    </w:p>
    <w:bookmarkEnd w:id="52"/>
    <w:p>
      <w:pPr>
        <w:pStyle w:val="19"/>
      </w:pPr>
      <w:r>
        <w:rPr>
          <w:rFonts w:hint="eastAsia"/>
        </w:rPr>
        <w:t>（</w:t>
      </w:r>
      <w:r>
        <w:t>2）履职效益</w:t>
      </w:r>
    </w:p>
    <w:p>
      <w:pPr>
        <w:pStyle w:val="19"/>
      </w:pPr>
      <w:r>
        <w:rPr>
          <w:rFonts w:hint="eastAsia"/>
        </w:rPr>
        <w:t>部门效果指标主要从保证宪法、法律、行政法规和上级人民代表大会及其常务委员会决议的遵守和执行、促进本省的政治、经济、教育、科学、文化、卫生、环境和资源保护、民政、民族等事业有序发展</w:t>
      </w:r>
      <w:r>
        <w:t>等方面对部门经费使用效益进行考察，效果指标权重11分，实际得11分。指标的得分情况如表3-3所示。</w:t>
      </w:r>
    </w:p>
    <w:p>
      <w:pPr>
        <w:pStyle w:val="37"/>
      </w:pPr>
      <w:r>
        <w:t>表</w:t>
      </w:r>
      <w:r>
        <w:rPr>
          <w:rFonts w:hint="eastAsia"/>
        </w:rPr>
        <w:t>3</w:t>
      </w:r>
      <w:r>
        <w:t>-3 部门履职效益指标得分情况</w:t>
      </w:r>
    </w:p>
    <w:tbl>
      <w:tblPr>
        <w:tblStyle w:val="16"/>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1038"/>
        <w:gridCol w:w="1039"/>
        <w:gridCol w:w="1039"/>
        <w:gridCol w:w="103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trPr>
        <w:tc>
          <w:tcPr>
            <w:tcW w:w="3170" w:type="dxa"/>
            <w:shd w:val="clear" w:color="auto" w:fill="auto"/>
            <w:vAlign w:val="center"/>
          </w:tcPr>
          <w:p>
            <w:pPr>
              <w:pStyle w:val="37"/>
              <w:rPr>
                <w:b/>
                <w:bCs/>
              </w:rPr>
            </w:pPr>
            <w:r>
              <w:rPr>
                <w:b/>
                <w:bCs/>
              </w:rPr>
              <w:t>三级指标</w:t>
            </w:r>
          </w:p>
        </w:tc>
        <w:tc>
          <w:tcPr>
            <w:tcW w:w="1038" w:type="dxa"/>
            <w:shd w:val="clear" w:color="auto" w:fill="auto"/>
            <w:vAlign w:val="center"/>
          </w:tcPr>
          <w:p>
            <w:pPr>
              <w:pStyle w:val="37"/>
              <w:rPr>
                <w:b/>
                <w:bCs/>
              </w:rPr>
            </w:pPr>
            <w:r>
              <w:rPr>
                <w:b/>
                <w:bCs/>
              </w:rPr>
              <w:t>权重</w:t>
            </w:r>
          </w:p>
        </w:tc>
        <w:tc>
          <w:tcPr>
            <w:tcW w:w="1039" w:type="dxa"/>
            <w:shd w:val="clear" w:color="auto" w:fill="auto"/>
            <w:vAlign w:val="center"/>
          </w:tcPr>
          <w:p>
            <w:pPr>
              <w:pStyle w:val="37"/>
              <w:rPr>
                <w:b/>
                <w:bCs/>
              </w:rPr>
            </w:pPr>
            <w:r>
              <w:rPr>
                <w:b/>
                <w:bCs/>
              </w:rPr>
              <w:t>标杆值</w:t>
            </w:r>
          </w:p>
        </w:tc>
        <w:tc>
          <w:tcPr>
            <w:tcW w:w="1039" w:type="dxa"/>
            <w:shd w:val="clear" w:color="auto" w:fill="auto"/>
            <w:vAlign w:val="center"/>
          </w:tcPr>
          <w:p>
            <w:pPr>
              <w:pStyle w:val="37"/>
              <w:rPr>
                <w:b/>
                <w:bCs/>
              </w:rPr>
            </w:pPr>
            <w:r>
              <w:rPr>
                <w:b/>
                <w:bCs/>
              </w:rPr>
              <w:t>业绩值</w:t>
            </w:r>
          </w:p>
        </w:tc>
        <w:tc>
          <w:tcPr>
            <w:tcW w:w="1039" w:type="dxa"/>
            <w:shd w:val="clear" w:color="auto" w:fill="auto"/>
            <w:vAlign w:val="center"/>
          </w:tcPr>
          <w:p>
            <w:pPr>
              <w:pStyle w:val="37"/>
              <w:rPr>
                <w:b/>
                <w:bCs/>
              </w:rPr>
            </w:pPr>
            <w:r>
              <w:rPr>
                <w:b/>
                <w:bCs/>
              </w:rPr>
              <w:t>得分率</w:t>
            </w:r>
          </w:p>
        </w:tc>
        <w:tc>
          <w:tcPr>
            <w:tcW w:w="1039" w:type="dxa"/>
            <w:shd w:val="clear" w:color="auto" w:fill="auto"/>
            <w:vAlign w:val="center"/>
          </w:tcPr>
          <w:p>
            <w:pPr>
              <w:pStyle w:val="37"/>
              <w:rPr>
                <w:b/>
                <w:bCs/>
              </w:rPr>
            </w:pPr>
            <w:r>
              <w:rPr>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trPr>
        <w:tc>
          <w:tcPr>
            <w:tcW w:w="3170" w:type="dxa"/>
            <w:shd w:val="clear" w:color="auto" w:fill="auto"/>
            <w:vAlign w:val="center"/>
          </w:tcPr>
          <w:p>
            <w:pPr>
              <w:pStyle w:val="37"/>
              <w:jc w:val="both"/>
            </w:pPr>
            <w:r>
              <w:rPr>
                <w:rFonts w:hint="eastAsia"/>
              </w:rPr>
              <w:t>C</w:t>
            </w:r>
            <w:r>
              <w:t>21</w:t>
            </w:r>
            <w:r>
              <w:rPr>
                <w:rFonts w:hint="eastAsia"/>
              </w:rPr>
              <w:t>保证宪法、法律、行政法规和上级人民代表大会及其常务委员会决议的遵守和执行</w:t>
            </w:r>
          </w:p>
        </w:tc>
        <w:tc>
          <w:tcPr>
            <w:tcW w:w="1038" w:type="dxa"/>
            <w:shd w:val="clear" w:color="auto" w:fill="auto"/>
            <w:vAlign w:val="center"/>
          </w:tcPr>
          <w:p>
            <w:pPr>
              <w:pStyle w:val="37"/>
            </w:pPr>
            <w:r>
              <w:t>6</w:t>
            </w:r>
          </w:p>
        </w:tc>
        <w:tc>
          <w:tcPr>
            <w:tcW w:w="1039" w:type="dxa"/>
            <w:shd w:val="clear" w:color="auto" w:fill="auto"/>
            <w:vAlign w:val="center"/>
          </w:tcPr>
          <w:p>
            <w:pPr>
              <w:pStyle w:val="37"/>
            </w:pPr>
            <w:r>
              <w:t>100%</w:t>
            </w:r>
          </w:p>
        </w:tc>
        <w:tc>
          <w:tcPr>
            <w:tcW w:w="1039" w:type="dxa"/>
            <w:shd w:val="clear" w:color="auto" w:fill="auto"/>
            <w:vAlign w:val="center"/>
          </w:tcPr>
          <w:p>
            <w:pPr>
              <w:pStyle w:val="37"/>
            </w:pPr>
            <w:r>
              <w:t>100%</w:t>
            </w:r>
          </w:p>
        </w:tc>
        <w:tc>
          <w:tcPr>
            <w:tcW w:w="1039" w:type="dxa"/>
            <w:shd w:val="clear" w:color="auto" w:fill="auto"/>
            <w:vAlign w:val="center"/>
          </w:tcPr>
          <w:p>
            <w:pPr>
              <w:pStyle w:val="37"/>
            </w:pPr>
            <w:r>
              <w:t>100%</w:t>
            </w:r>
          </w:p>
        </w:tc>
        <w:tc>
          <w:tcPr>
            <w:tcW w:w="1039" w:type="dxa"/>
            <w:shd w:val="clear" w:color="auto" w:fill="auto"/>
            <w:vAlign w:val="center"/>
          </w:tcPr>
          <w:p>
            <w:pPr>
              <w:pStyle w:val="37"/>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exact"/>
        </w:trPr>
        <w:tc>
          <w:tcPr>
            <w:tcW w:w="3170" w:type="dxa"/>
            <w:shd w:val="clear" w:color="auto" w:fill="auto"/>
            <w:vAlign w:val="center"/>
          </w:tcPr>
          <w:p>
            <w:pPr>
              <w:pStyle w:val="37"/>
              <w:jc w:val="both"/>
            </w:pPr>
            <w:r>
              <w:rPr>
                <w:rFonts w:hint="eastAsia"/>
              </w:rPr>
              <w:t>C</w:t>
            </w:r>
            <w:r>
              <w:t>22</w:t>
            </w:r>
            <w:r>
              <w:rPr>
                <w:rFonts w:hint="eastAsia"/>
              </w:rPr>
              <w:t>促进本省的政治、经济、教育、科学、文化、卫生、环境和资源保护、民政、民族等事业有序发展</w:t>
            </w:r>
          </w:p>
        </w:tc>
        <w:tc>
          <w:tcPr>
            <w:tcW w:w="1038" w:type="dxa"/>
            <w:shd w:val="clear" w:color="auto" w:fill="auto"/>
            <w:vAlign w:val="center"/>
          </w:tcPr>
          <w:p>
            <w:pPr>
              <w:pStyle w:val="37"/>
            </w:pPr>
            <w:r>
              <w:t>5</w:t>
            </w:r>
          </w:p>
        </w:tc>
        <w:tc>
          <w:tcPr>
            <w:tcW w:w="1039" w:type="dxa"/>
            <w:shd w:val="clear" w:color="auto" w:fill="auto"/>
            <w:vAlign w:val="center"/>
          </w:tcPr>
          <w:p>
            <w:pPr>
              <w:pStyle w:val="37"/>
            </w:pPr>
            <w:r>
              <w:t>0%</w:t>
            </w:r>
          </w:p>
        </w:tc>
        <w:tc>
          <w:tcPr>
            <w:tcW w:w="1039" w:type="dxa"/>
            <w:shd w:val="clear" w:color="auto" w:fill="auto"/>
            <w:vAlign w:val="center"/>
          </w:tcPr>
          <w:p>
            <w:pPr>
              <w:pStyle w:val="37"/>
            </w:pPr>
            <w:r>
              <w:t>0%</w:t>
            </w:r>
          </w:p>
        </w:tc>
        <w:tc>
          <w:tcPr>
            <w:tcW w:w="1039" w:type="dxa"/>
            <w:shd w:val="clear" w:color="auto" w:fill="auto"/>
            <w:vAlign w:val="center"/>
          </w:tcPr>
          <w:p>
            <w:pPr>
              <w:pStyle w:val="37"/>
            </w:pPr>
            <w:r>
              <w:t>100%</w:t>
            </w:r>
          </w:p>
        </w:tc>
        <w:tc>
          <w:tcPr>
            <w:tcW w:w="1039" w:type="dxa"/>
            <w:shd w:val="clear" w:color="auto" w:fill="auto"/>
            <w:vAlign w:val="center"/>
          </w:tcPr>
          <w:p>
            <w:pPr>
              <w:pStyle w:val="37"/>
            </w:pPr>
            <w:r>
              <w:t>5</w:t>
            </w:r>
          </w:p>
        </w:tc>
      </w:tr>
    </w:tbl>
    <w:p>
      <w:pPr>
        <w:pStyle w:val="19"/>
      </w:pPr>
      <w:r>
        <w:t>根据评分情况，该部门效果类指标得分情况良好。2020年度，</w:t>
      </w:r>
      <w:r>
        <w:rPr>
          <w:rFonts w:hint="eastAsia"/>
        </w:rPr>
        <w:t>甘肃省人民代表大会常务委员会</w:t>
      </w:r>
      <w:r>
        <w:t>筹备召开省人代会和常委会会议、制定年度工作要点及立法计划、制定修改重要地方性法规等履职中的重要事项，及时向省委请示报告。细化工作举措，加强调研</w:t>
      </w:r>
      <w:r>
        <w:rPr>
          <w:rFonts w:hint="eastAsia"/>
        </w:rPr>
        <w:t>指导，交流经验做法，推动省委关于加强新时代人大工作的部署要求落到实处。自觉接受党中央巡视，认真检视问题，研究推动整改；</w:t>
      </w:r>
      <w:r>
        <w:t>面对突如其来的新冠肺炎疫情，常委会深入学习领会习近平总书记关于统筹推进疫情防控和经济社会发展工作系列重要讲话精神，坚决贯彻中央和省委决策部署，及时作出全面禁止非法野生动物交易、革除滥食野生动物陋习、保障人民群众生命健康安全的决定，支持相关部门依法实施疫情防控及应急处置措施，围绕传染病防治法、野生动物保护法和我省实施办法及相关决定开展全覆盖执</w:t>
      </w:r>
      <w:r>
        <w:rPr>
          <w:rFonts w:hint="eastAsia"/>
        </w:rPr>
        <w:t>法检查，并结合执法检查启动相关法规的修订工作。</w:t>
      </w:r>
      <w:r>
        <w:t>围绕“十四五”规划纲要编制，开展黄河上游陇中地区生态保护和高质量发展、重大交通基础设施项目建设、确保国家粮食安全和推动高标准农田建设、兰州白银国家自主创新示范区人才相关问题等专题调研，提出意见建议；聚焦打好污染防治攻坚战，持续围绕大气、水、土壤污染防治3部法律实施情况开展链条式执法检查。积极配合全国人大开展土壤污染防治法执法检查，全面报告我省贯彻落实全国人大常委会决议、打好污染防治攻坚战的情况和黄河保护法议案相关情况；</w:t>
      </w:r>
      <w:r>
        <w:rPr>
          <w:rFonts w:hint="eastAsia"/>
        </w:rPr>
        <w:t>围绕全省职业教育发展开展专题调研，组织部分在甘全国人大代表进行集中视察，听取审议省政府职业教育事业发展情况的报告，举行联组会议进行专题询问，推动解决存在的困难和问题；</w:t>
      </w:r>
      <w:r>
        <w:t>持续推动宪法学习宣传和贯彻实施，深化拓展宪法联系点活动，落实宪法宣誓制度，组织选举、任命和决定任命的国家工作人员进行宪法宣誓，推动形成尊崇宪法、学习宪法、遵守宪法、维护宪法、运用宪法的良好氛围。</w:t>
      </w:r>
    </w:p>
    <w:p>
      <w:pPr>
        <w:pStyle w:val="19"/>
      </w:pPr>
      <w:r>
        <w:rPr>
          <w:rFonts w:hint="eastAsia"/>
        </w:rPr>
        <w:t>（</w:t>
      </w:r>
      <w:r>
        <w:t>3）绩效分析</w:t>
      </w:r>
    </w:p>
    <w:p>
      <w:pPr>
        <w:pStyle w:val="19"/>
      </w:pPr>
      <w:r>
        <w:t>人员经费、公用经费投入状况</w:t>
      </w:r>
    </w:p>
    <w:p>
      <w:pPr>
        <w:pStyle w:val="19"/>
        <w:rPr>
          <w:highlight w:val="cyan"/>
        </w:rPr>
      </w:pPr>
      <w:r>
        <w:t>2020年</w:t>
      </w:r>
      <w:r>
        <w:rPr>
          <w:rFonts w:hint="eastAsia"/>
        </w:rPr>
        <w:t>甘肃省人民代表大会常务委员会办公厅</w:t>
      </w:r>
      <w:r>
        <w:t>基本支出经费年初预算安排5997.95万元，年中预算调整后为7285.45万元，实际支出决算数为7285.45万元。据了解，2020年人员经费实际支出均按照核定标准发放，公用经费按照实际发生情况进行支出，未发现不合规现象。</w:t>
      </w:r>
    </w:p>
    <w:p>
      <w:pPr>
        <w:pStyle w:val="24"/>
        <w:numPr>
          <w:ilvl w:val="1"/>
          <w:numId w:val="0"/>
        </w:numPr>
      </w:pPr>
      <w:bookmarkStart w:id="53" w:name="_Toc76458939"/>
      <w:bookmarkStart w:id="54" w:name="_Toc75790573"/>
      <w:bookmarkStart w:id="55" w:name="_Toc76476755"/>
      <w:r>
        <w:rPr>
          <w:rFonts w:hint="eastAsia"/>
        </w:rPr>
        <w:t xml:space="preserve">    （三）满意度分析</w:t>
      </w:r>
      <w:bookmarkEnd w:id="53"/>
      <w:bookmarkEnd w:id="54"/>
      <w:bookmarkEnd w:id="55"/>
    </w:p>
    <w:p>
      <w:pPr>
        <w:pStyle w:val="19"/>
      </w:pPr>
      <w:r>
        <w:t>满意度指标分析主要从部门职工满意度方面进行考察，满意度指标权重8分，实际得</w:t>
      </w:r>
      <w:r>
        <w:rPr>
          <w:rFonts w:hint="eastAsia"/>
        </w:rPr>
        <w:t>8</w:t>
      </w:r>
      <w:r>
        <w:t>分。得分情况如表</w:t>
      </w:r>
      <w:r>
        <w:rPr>
          <w:rFonts w:hint="eastAsia"/>
        </w:rPr>
        <w:t>3</w:t>
      </w:r>
      <w:r>
        <w:t>-4所示。</w:t>
      </w:r>
    </w:p>
    <w:p>
      <w:pPr>
        <w:pStyle w:val="37"/>
      </w:pPr>
      <w:r>
        <w:t>表</w:t>
      </w:r>
      <w:r>
        <w:rPr>
          <w:rFonts w:hint="eastAsia"/>
        </w:rPr>
        <w:t>3</w:t>
      </w:r>
      <w:r>
        <w:t>-4 满意度及社会评价指标得分情况</w:t>
      </w:r>
    </w:p>
    <w:tbl>
      <w:tblPr>
        <w:tblStyle w:val="16"/>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3561" w:type="dxa"/>
            <w:shd w:val="clear" w:color="auto" w:fill="auto"/>
            <w:vAlign w:val="center"/>
          </w:tcPr>
          <w:p>
            <w:pPr>
              <w:pStyle w:val="37"/>
              <w:rPr>
                <w:b/>
                <w:bCs/>
              </w:rPr>
            </w:pPr>
            <w:r>
              <w:rPr>
                <w:b/>
                <w:bCs/>
              </w:rPr>
              <w:t>三级指标</w:t>
            </w:r>
          </w:p>
        </w:tc>
        <w:tc>
          <w:tcPr>
            <w:tcW w:w="964" w:type="dxa"/>
            <w:shd w:val="clear" w:color="auto" w:fill="auto"/>
            <w:vAlign w:val="center"/>
          </w:tcPr>
          <w:p>
            <w:pPr>
              <w:pStyle w:val="37"/>
              <w:rPr>
                <w:b/>
                <w:bCs/>
              </w:rPr>
            </w:pPr>
            <w:r>
              <w:rPr>
                <w:b/>
                <w:bCs/>
              </w:rPr>
              <w:t>权重</w:t>
            </w:r>
          </w:p>
        </w:tc>
        <w:tc>
          <w:tcPr>
            <w:tcW w:w="964" w:type="dxa"/>
            <w:shd w:val="clear" w:color="auto" w:fill="auto"/>
            <w:vAlign w:val="center"/>
          </w:tcPr>
          <w:p>
            <w:pPr>
              <w:pStyle w:val="37"/>
              <w:rPr>
                <w:b/>
                <w:bCs/>
              </w:rPr>
            </w:pPr>
            <w:r>
              <w:rPr>
                <w:b/>
                <w:bCs/>
              </w:rPr>
              <w:t>标杆值</w:t>
            </w:r>
          </w:p>
        </w:tc>
        <w:tc>
          <w:tcPr>
            <w:tcW w:w="964" w:type="dxa"/>
            <w:shd w:val="clear" w:color="auto" w:fill="auto"/>
            <w:vAlign w:val="center"/>
          </w:tcPr>
          <w:p>
            <w:pPr>
              <w:pStyle w:val="37"/>
              <w:rPr>
                <w:b/>
                <w:bCs/>
              </w:rPr>
            </w:pPr>
            <w:r>
              <w:rPr>
                <w:b/>
                <w:bCs/>
              </w:rPr>
              <w:t>业绩值</w:t>
            </w:r>
          </w:p>
        </w:tc>
        <w:tc>
          <w:tcPr>
            <w:tcW w:w="964" w:type="dxa"/>
            <w:shd w:val="clear" w:color="auto" w:fill="auto"/>
            <w:vAlign w:val="center"/>
          </w:tcPr>
          <w:p>
            <w:pPr>
              <w:pStyle w:val="37"/>
              <w:rPr>
                <w:b/>
                <w:bCs/>
              </w:rPr>
            </w:pPr>
            <w:r>
              <w:rPr>
                <w:b/>
                <w:bCs/>
              </w:rPr>
              <w:t>得分率</w:t>
            </w:r>
          </w:p>
        </w:tc>
        <w:tc>
          <w:tcPr>
            <w:tcW w:w="964" w:type="dxa"/>
            <w:shd w:val="clear" w:color="auto" w:fill="auto"/>
            <w:vAlign w:val="center"/>
          </w:tcPr>
          <w:p>
            <w:pPr>
              <w:pStyle w:val="37"/>
              <w:rPr>
                <w:b/>
                <w:bCs/>
              </w:rPr>
            </w:pPr>
            <w:r>
              <w:rPr>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561" w:type="dxa"/>
            <w:shd w:val="clear" w:color="auto" w:fill="auto"/>
            <w:vAlign w:val="center"/>
          </w:tcPr>
          <w:p>
            <w:pPr>
              <w:pStyle w:val="37"/>
            </w:pPr>
            <w:r>
              <w:t>C31部门职工满意度</w:t>
            </w:r>
          </w:p>
        </w:tc>
        <w:tc>
          <w:tcPr>
            <w:tcW w:w="964" w:type="dxa"/>
            <w:shd w:val="clear" w:color="auto" w:fill="auto"/>
            <w:vAlign w:val="center"/>
          </w:tcPr>
          <w:p>
            <w:pPr>
              <w:pStyle w:val="37"/>
            </w:pPr>
            <w:r>
              <w:t>8</w:t>
            </w:r>
          </w:p>
        </w:tc>
        <w:tc>
          <w:tcPr>
            <w:tcW w:w="964" w:type="dxa"/>
            <w:shd w:val="clear" w:color="auto" w:fill="auto"/>
            <w:vAlign w:val="center"/>
          </w:tcPr>
          <w:p>
            <w:pPr>
              <w:pStyle w:val="37"/>
            </w:pPr>
            <w:r>
              <w:t>90%</w:t>
            </w:r>
          </w:p>
        </w:tc>
        <w:tc>
          <w:tcPr>
            <w:tcW w:w="964" w:type="dxa"/>
            <w:shd w:val="clear" w:color="auto" w:fill="auto"/>
            <w:vAlign w:val="center"/>
          </w:tcPr>
          <w:p>
            <w:pPr>
              <w:pStyle w:val="37"/>
            </w:pPr>
            <w:r>
              <w:t>92.15%</w:t>
            </w:r>
          </w:p>
        </w:tc>
        <w:tc>
          <w:tcPr>
            <w:tcW w:w="964" w:type="dxa"/>
            <w:shd w:val="clear" w:color="auto" w:fill="auto"/>
            <w:vAlign w:val="center"/>
          </w:tcPr>
          <w:p>
            <w:pPr>
              <w:pStyle w:val="37"/>
            </w:pPr>
            <w:r>
              <w:t>100%</w:t>
            </w:r>
          </w:p>
        </w:tc>
        <w:tc>
          <w:tcPr>
            <w:tcW w:w="964" w:type="dxa"/>
            <w:shd w:val="clear" w:color="auto" w:fill="auto"/>
            <w:vAlign w:val="center"/>
          </w:tcPr>
          <w:p>
            <w:pPr>
              <w:pStyle w:val="37"/>
            </w:pPr>
            <w:r>
              <w:t>8</w:t>
            </w:r>
          </w:p>
        </w:tc>
      </w:tr>
    </w:tbl>
    <w:p>
      <w:pPr>
        <w:pStyle w:val="19"/>
      </w:pPr>
      <w:r>
        <w:rPr>
          <w:rFonts w:hint="eastAsia"/>
        </w:rPr>
        <w:t>截至</w:t>
      </w:r>
      <w:r>
        <w:t>202</w:t>
      </w:r>
      <w:r>
        <w:rPr>
          <w:rFonts w:hint="eastAsia"/>
        </w:rPr>
        <w:t>1</w:t>
      </w:r>
      <w:r>
        <w:t>年6月，合计回收甘肃省人民代表大会常务委员会办公厅部门职工满意度问卷3</w:t>
      </w:r>
      <w:r>
        <w:rPr>
          <w:rFonts w:hint="eastAsia"/>
        </w:rPr>
        <w:t>0</w:t>
      </w:r>
      <w:r>
        <w:t>份，实际有效问卷28份，根据问卷调查结果显示，受益对象的整体满意程度为92.15%，满意度水平较高，各分项满意度情况详见下表3-5。</w:t>
      </w:r>
    </w:p>
    <w:p>
      <w:pPr>
        <w:pStyle w:val="37"/>
      </w:pPr>
      <w:r>
        <w:t>表</w:t>
      </w:r>
      <w:r>
        <w:rPr>
          <w:rFonts w:hint="eastAsia"/>
        </w:rPr>
        <w:t>3</w:t>
      </w:r>
      <w:r>
        <w:t>-5 部门职工满意度得分情况</w:t>
      </w:r>
    </w:p>
    <w:tbl>
      <w:tblPr>
        <w:tblStyle w:val="16"/>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trPr>
        <w:tc>
          <w:tcPr>
            <w:tcW w:w="6204" w:type="dxa"/>
            <w:shd w:val="clear" w:color="auto" w:fill="FFFFFF" w:themeFill="background1"/>
            <w:vAlign w:val="center"/>
          </w:tcPr>
          <w:p>
            <w:pPr>
              <w:pStyle w:val="37"/>
              <w:rPr>
                <w:b/>
                <w:bCs/>
              </w:rPr>
            </w:pPr>
            <w:r>
              <w:rPr>
                <w:b/>
                <w:bCs/>
              </w:rPr>
              <w:t>满意度测评内容</w:t>
            </w:r>
          </w:p>
        </w:tc>
        <w:tc>
          <w:tcPr>
            <w:tcW w:w="2177" w:type="dxa"/>
            <w:shd w:val="clear" w:color="auto" w:fill="FFFFFF" w:themeFill="background1"/>
            <w:vAlign w:val="center"/>
          </w:tcPr>
          <w:p>
            <w:pPr>
              <w:pStyle w:val="37"/>
              <w:rPr>
                <w:b/>
                <w:bCs/>
              </w:rPr>
            </w:pPr>
            <w:r>
              <w:rPr>
                <w:b/>
                <w:bCs/>
              </w:rPr>
              <w:t>满意度得分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37"/>
            </w:pPr>
            <w:r>
              <w:t>您对部门组织过的业务培训评价</w:t>
            </w:r>
          </w:p>
        </w:tc>
        <w:tc>
          <w:tcPr>
            <w:tcW w:w="2177" w:type="dxa"/>
            <w:shd w:val="clear" w:color="auto" w:fill="auto"/>
            <w:vAlign w:val="center"/>
          </w:tcPr>
          <w:p>
            <w:pPr>
              <w:pStyle w:val="37"/>
            </w:pP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37"/>
            </w:pPr>
            <w:r>
              <w:t>您对目前的薪资水平收入的评价</w:t>
            </w:r>
          </w:p>
        </w:tc>
        <w:tc>
          <w:tcPr>
            <w:tcW w:w="2177" w:type="dxa"/>
            <w:shd w:val="clear" w:color="auto" w:fill="auto"/>
            <w:vAlign w:val="center"/>
          </w:tcPr>
          <w:p>
            <w:pPr>
              <w:pStyle w:val="37"/>
            </w:pPr>
            <w: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37"/>
            </w:pPr>
            <w:r>
              <w:t>您对部门岗位职责与权力划分的评价</w:t>
            </w:r>
          </w:p>
        </w:tc>
        <w:tc>
          <w:tcPr>
            <w:tcW w:w="2177" w:type="dxa"/>
            <w:shd w:val="clear" w:color="auto" w:fill="auto"/>
            <w:vAlign w:val="center"/>
          </w:tcPr>
          <w:p>
            <w:pPr>
              <w:pStyle w:val="37"/>
            </w:pPr>
            <w: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37"/>
            </w:pPr>
            <w:r>
              <w:t>您对部门在用人制度、职责分工合理性方面的评价</w:t>
            </w:r>
          </w:p>
        </w:tc>
        <w:tc>
          <w:tcPr>
            <w:tcW w:w="2177" w:type="dxa"/>
            <w:shd w:val="clear" w:color="auto" w:fill="auto"/>
            <w:vAlign w:val="center"/>
          </w:tcPr>
          <w:p>
            <w:pPr>
              <w:pStyle w:val="37"/>
            </w:pPr>
            <w: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37"/>
            </w:pPr>
            <w:r>
              <w:t>您对部门目前的考核制度合理性的评价</w:t>
            </w:r>
          </w:p>
        </w:tc>
        <w:tc>
          <w:tcPr>
            <w:tcW w:w="2177" w:type="dxa"/>
            <w:shd w:val="clear" w:color="auto" w:fill="auto"/>
            <w:vAlign w:val="center"/>
          </w:tcPr>
          <w:p>
            <w:pPr>
              <w:pStyle w:val="37"/>
            </w:pPr>
            <w:r>
              <w:t>87%</w:t>
            </w:r>
          </w:p>
        </w:tc>
      </w:tr>
    </w:tbl>
    <w:p>
      <w:pPr>
        <w:pStyle w:val="21"/>
        <w:numPr>
          <w:ilvl w:val="0"/>
          <w:numId w:val="0"/>
        </w:numPr>
      </w:pPr>
      <w:bookmarkStart w:id="56" w:name="_Toc76476756"/>
      <w:bookmarkStart w:id="57" w:name="_Toc75790574"/>
      <w:bookmarkStart w:id="58" w:name="_Toc76458940"/>
      <w:r>
        <w:rPr>
          <w:rFonts w:hint="eastAsia"/>
        </w:rPr>
        <w:t xml:space="preserve">    四、部门履职成效</w:t>
      </w:r>
      <w:bookmarkEnd w:id="56"/>
      <w:bookmarkEnd w:id="57"/>
      <w:bookmarkEnd w:id="58"/>
    </w:p>
    <w:p>
      <w:pPr>
        <w:pStyle w:val="19"/>
      </w:pPr>
      <w:r>
        <w:rPr>
          <w:rFonts w:hint="eastAsia"/>
        </w:rPr>
        <w:t>如前指标评价所反映，甘肃省人民代表大会常务委员会办公厅部门整体履职完成情况良好，取得了一定成效，主要表现为：</w:t>
      </w:r>
    </w:p>
    <w:p>
      <w:pPr>
        <w:pStyle w:val="24"/>
        <w:numPr>
          <w:ilvl w:val="1"/>
          <w:numId w:val="0"/>
        </w:numPr>
      </w:pPr>
      <w:bookmarkStart w:id="59" w:name="_Toc76476757"/>
      <w:bookmarkStart w:id="60" w:name="_Toc76458941"/>
      <w:r>
        <w:rPr>
          <w:rFonts w:hint="eastAsia"/>
        </w:rPr>
        <w:t xml:space="preserve">    （一）推动中央和省委决策部署落地落实</w:t>
      </w:r>
      <w:bookmarkEnd w:id="59"/>
      <w:bookmarkEnd w:id="60"/>
    </w:p>
    <w:p>
      <w:pPr>
        <w:pStyle w:val="19"/>
      </w:pPr>
      <w:r>
        <w:rPr>
          <w:rFonts w:hint="eastAsia"/>
        </w:rPr>
        <w:t>面对突如其来的新冠肺炎疫情，常委会深入学习领会习近平总书记关于统筹推进疫情防控和经济社会发展工作系列重要讲话精神，坚决贯彻中央和省委决策部署，切实扛起非常时期的责任担当，及时作出全面禁止非法野生动物交易、革除滥食野生动物陋习、保障人民群众生命健康安全的决定，支持相关部门依法实施疫情防控及应急处置措施，围绕传染病防治法、野生动物保护法和我省实施办法及相关决定开展全覆盖执法检查，并结合执法检查启动相关法规的修订工作，发挥了法治在疫情防控中的规范和保障作用。对全省农村公共卫生体系建设、复工复产政策落实情况开展调研，对就业促进法和我省就业促进条例执法检查整改落实情况进行跟踪监督，审查批准抗疫特别国债资金分配使用及省级预算调整方案，推动做好“六稳”工作、落实“六保”任务。动员全省各级人大代表践行初心使命，在各个领域、各自岗位发挥作用，为打赢疫情防控阻击战贡献了力量。</w:t>
      </w:r>
    </w:p>
    <w:p>
      <w:pPr>
        <w:pStyle w:val="19"/>
      </w:pPr>
      <w:r>
        <w:t>2020年是脱贫攻坚决战决胜、全面收官之年。常委会紧盯目标任务，采取务实措施，加大监督力度，切实履行脱贫攻坚帮扶责任，助力打赢打好脱贫攻坚战。围绕脱贫攻坚兜底保障、贫困县乡镇寄宿制学校冬季供暖、全省特色农业产业发展等进行调研，持续监督检查全省财政扶贫专项资金分配使用，跟踪调研省政府及有关部门对常委会脱贫攻坚“两不愁三保障”政策落实、“两州一县”脱贫攻坚冲刺清零报告审议意见的办理情况，督促有关方面加强改进工作，解决存在问题，巩固提高脱贫攻坚成果。听取审议省政府关于脱贫攻坚工作情况的报告</w:t>
      </w:r>
      <w:r>
        <w:rPr>
          <w:rFonts w:hint="eastAsia"/>
        </w:rPr>
        <w:t>，就健全返贫监测与动态管理机制、推进巩固拓展脱贫攻坚成果同乡村振兴有效衔接等提出建议。</w:t>
      </w:r>
    </w:p>
    <w:p>
      <w:pPr>
        <w:pStyle w:val="24"/>
        <w:numPr>
          <w:ilvl w:val="1"/>
          <w:numId w:val="0"/>
        </w:numPr>
      </w:pPr>
      <w:bookmarkStart w:id="61" w:name="_Toc76476758"/>
      <w:bookmarkStart w:id="62" w:name="_Toc76458942"/>
      <w:r>
        <w:rPr>
          <w:rFonts w:hint="eastAsia"/>
        </w:rPr>
        <w:t xml:space="preserve">    （二）完善立法机制，不断提高立法质量</w:t>
      </w:r>
      <w:bookmarkEnd w:id="61"/>
      <w:bookmarkEnd w:id="62"/>
    </w:p>
    <w:p>
      <w:pPr>
        <w:pStyle w:val="19"/>
      </w:pPr>
      <w:r>
        <w:rPr>
          <w:rFonts w:hint="eastAsia"/>
        </w:rPr>
        <w:t>深入贯彻习近平生态文明思想，根据水生态保护要求，立足水资源短缺实际，统筹制定节约用水条例、水污染防治条例，修订实施水法办法，细化用水管理、节水措施、机制保障等内容，规范水污染防治标准、监督管理、应急处置等措施，做好法规之间的相互衔接，既突出单部法规的针对性和实效性，又注重同一领域法规的整体作用，为实现水资源可持续利用提供法治保障。着眼蓝天、碧水、净土保卫战地方立法全覆盖，持续推动污染防治立法，在制定大气、水污染防治条例的基础上，加快土壤污染防治条例立法进程，并已初审。同时，修订了辐射污染防治条例，审议了实施森林法办法，对修订废旧农膜回收利用条例等进行立法调研，切实加强生态环保立法。</w:t>
      </w:r>
    </w:p>
    <w:p>
      <w:pPr>
        <w:pStyle w:val="19"/>
      </w:pPr>
      <w:r>
        <w:rPr>
          <w:rFonts w:hint="eastAsia"/>
        </w:rPr>
        <w:t>聚焦民生实事，回应群众诉求，研究确定立法项目，开展创制性立法，做到小切口、真管用、有特色。着眼人口老龄化问题，制定养老服务条例，对规划建设基础设施、健全完善服务体系、鼓励引导社会力量参与等作出规范，更好满足养老服务事业健康发展的需要。针对中小学生安全问题，制定中小学校安全条例，细化校园及周边安全管理措施，着力为学校创造稳定安全的良好环境。修订食品小作坊小经营店小摊点监督管理条例，规范生产经营行为，努力让人民群众吃得放心、吃得安全。开展中医药条例制定工作，细化具体规定，保障中医药事业发展。加强弘德立法，制定文明行为促进条例，把社会主义核心价值观融入法治建设之中，维护公序良俗、推动社会文明进步。</w:t>
      </w:r>
    </w:p>
    <w:p>
      <w:pPr>
        <w:pStyle w:val="19"/>
      </w:pPr>
      <w:r>
        <w:rPr>
          <w:rFonts w:hint="eastAsia"/>
        </w:rPr>
        <w:t>深刻汲取祁连山国家级自然保护区管理条例立法教训，从强化政治意识、提高政治站位、落实政治责任、维护法治统一的高度再反思，认真研究部署，对生态环境保护、民营经济发展、食品药品安全、野生动物保护、民法典涉及法规等进行专项清理，并有序做好相关法规的修改废止工作。同时，对其他领域法规的全面清理作出安排，确保所有法规与上位法保持一致。结合“放管服”改革要求，修订建设行政执法条例、建筑市场管理条例、价格管理条例、道路交通安全条例，废止财政监督条例、企业负担监督管理条例等。加强备案审查，听取审议规范性文件备案审查工作报告，健全备案审查信息平台功能，依法对报备的</w:t>
      </w:r>
      <w:r>
        <w:t>95件规范性文件进行审查，及时督促纠正存在的问题。</w:t>
      </w:r>
    </w:p>
    <w:p>
      <w:pPr>
        <w:pStyle w:val="19"/>
      </w:pPr>
      <w:r>
        <w:rPr>
          <w:rFonts w:hint="eastAsia"/>
        </w:rPr>
        <w:t>面对立法任务更重、节奏更快、要求更高的形势，进一步加强和改进立法工作，健全完善党委领导、人大主导、政府依托、各方参与的工作格局，落实“始终坚持党的领导、切实提高政治站位、坚决维护法治统一、健全完善责任机制、不断推进精准立法、着力提高立法质量”的举措，形成了与我省立法实际和需求相适应的立法机制。适应地方立法工作新要求，修订地方立法条例，细化了法规立项、论证、起草、听证、评估、审议等方面的内容，完善了地方立法工作的机制和程序。适时调整立法规划，充实立法项目库，努力做到由“等米下锅”向“点菜上桌”转变。健全专委会和工作部门提前介入机制，加强问题研究，做好法规起草、审议等环节的衔接。坚持“开门立法”，发挥市县两级人大、人大代表、立法顾问和立法联系点的作用，完善法规草案公示征求意见机制，扩大公众对立法工作的有序参与。</w:t>
      </w:r>
    </w:p>
    <w:p>
      <w:pPr>
        <w:pStyle w:val="19"/>
      </w:pPr>
      <w:r>
        <w:rPr>
          <w:rFonts w:hint="eastAsia"/>
        </w:rPr>
        <w:t>开展立法知识每月一讲，邀请相关专家学者授课，通过多种方式提高立法干部队伍的能力水平。制定审查指导市州地方性法规工作规范，做好立法项目统筹和省与市州之间立法计划的协调，对市州法规提前介入、提出意见，共同研究解决立法问题，依法批准市州有关城乡建设与管理、环境保护、历史文化保护等方面的法规，使市州立法更具特色、更有针对性和操作性。</w:t>
      </w:r>
    </w:p>
    <w:p>
      <w:pPr>
        <w:pStyle w:val="24"/>
        <w:numPr>
          <w:ilvl w:val="1"/>
          <w:numId w:val="0"/>
        </w:numPr>
      </w:pPr>
      <w:bookmarkStart w:id="63" w:name="_Toc76476759"/>
      <w:bookmarkStart w:id="64" w:name="_Toc76458943"/>
      <w:r>
        <w:rPr>
          <w:rFonts w:hint="eastAsia"/>
        </w:rPr>
        <w:t xml:space="preserve">    （三）服务发展大局，切实增强监督实效</w:t>
      </w:r>
      <w:bookmarkEnd w:id="63"/>
      <w:bookmarkEnd w:id="64"/>
    </w:p>
    <w:p>
      <w:pPr>
        <w:pStyle w:val="19"/>
      </w:pPr>
      <w:r>
        <w:rPr>
          <w:rFonts w:hint="eastAsia"/>
        </w:rPr>
        <w:t>围绕“十四五”规划纲要编制，开展黄河上游陇中地区生态保护和高质量发展、重大交通基础设施项目建设、确保国家粮食安全和推动高标准农田建设、兰州白银国家自主创新示范区人才相关问题等专题调研，提出意见建议。听取审议省政府计划、预算、审计等工作报告，批准省级财政决算和预算调整方案、新增政府债务限额分配计划；听取审议国有资产管理情况综合报告及企业国有资产管理情况专项报告（不含金融企业），持续推动人大预算审查监督重点拓展等改革举措落实；听取审议全省法院充分发挥审判职能营造法治化营商环境保障和促进民营经济发展的报告、全省检察机关积极服务优化营商环境工作情况的报告，努力营造稳定公平透明的法治化营商环境。开展地方金融机构支持民营经济发展情况调研，配合全国人大常委会开展反不正当竞争法执法检查。</w:t>
      </w:r>
    </w:p>
    <w:p>
      <w:pPr>
        <w:pStyle w:val="19"/>
      </w:pPr>
      <w:r>
        <w:rPr>
          <w:rFonts w:hint="eastAsia"/>
        </w:rPr>
        <w:t>聚焦打好污染防治攻坚战，持续围绕大气、水、土壤污染防治</w:t>
      </w:r>
      <w:r>
        <w:t>3部法律实施情况开展链条式执法检查。积极配合全国人大开展土壤污染防治法执法检查，全面报告我省贯彻落实全国人大常委会决议、打好污染防治攻坚战的情况和黄河保护法议案相关情况，其做法成效得到全国人大的肯定。连续听取审议省政府年度环境状况和环境保护目标完成情况报告、全省防沙治沙工作情况报告，提出加强改进工作的意见建议。开展河道管理条例实施情况执法检查，对农村人居环境整治、国有林场改革发展进行调研，作出关于资源税适用税率等有关事项的决定</w:t>
      </w:r>
      <w:r>
        <w:rPr>
          <w:rFonts w:hint="eastAsia"/>
        </w:rPr>
        <w:t>。开展陇原环保世纪行活动。</w:t>
      </w:r>
    </w:p>
    <w:p>
      <w:pPr>
        <w:pStyle w:val="19"/>
      </w:pPr>
      <w:r>
        <w:rPr>
          <w:rFonts w:hint="eastAsia"/>
        </w:rPr>
        <w:t>围绕全省职业教育发展开展专题调研，组织部分在甘全国人大代表进行集中视察，听取审议省政府职业教育事业发展情况的报告，举行联组会议进行专题询问，推动解决存在的困难和问题。针对电信网络诈骗新型违法犯罪发展蔓延快、受骗群众多、社会危害大的问题，组织代表对全省打击治理电信网络新型违法犯罪工作进行视察。开展安全生产工作调研，听取审议全省安全生产工作情况报告，提出构建安全生产责任体系、建立安全监督管理机制、修改完善相关法规制度等建议。对公证法实施开展执法检查，发挥公证制度为民服务的作用。着眼养老服务人才队伍建设进行调研，推动健全养老服务人才培养培训体系。开展“农产品质量安全监督陇上行”活动。重视信访事项转办督办工作，制定省人大常委会涉法涉诉信访信件处理办法。</w:t>
      </w:r>
    </w:p>
    <w:p>
      <w:pPr>
        <w:pStyle w:val="19"/>
      </w:pPr>
      <w:r>
        <w:rPr>
          <w:rFonts w:hint="eastAsia"/>
        </w:rPr>
        <w:t>持续推动宪法学习宣传和贯彻实施，深化拓展宪法联系点活动，落实宪法宣誓制度，组织选举、任命和决定任命的国家工作人员进行宪法宣誓，推动形成尊崇宪法、学习宪法、遵守宪法、维护宪法、运用宪法的良好氛围。听取审议省政府法治政府建设和全省公安机关执法规范化建设情况报告。围绕充分发挥检察机关法律监督职能作用，作出加强检察公益诉讼工作的决定。根据全国村“两委”换届与县乡换届同步进行的部署，作出调整全省第十次村民委员会和第七次城市居民委员会换届选举时间的决定。广泛开展民法典的学习宣传教育，推动法典精神、法治理念、法律规定走进基层、深入人心、落地见效。</w:t>
      </w:r>
      <w:bookmarkStart w:id="65" w:name="_Toc76476760"/>
    </w:p>
    <w:p>
      <w:pPr>
        <w:pStyle w:val="19"/>
        <w:ind w:firstLine="643"/>
        <w:rPr>
          <w:rFonts w:eastAsia="楷体"/>
          <w:b/>
        </w:rPr>
      </w:pPr>
      <w:r>
        <w:rPr>
          <w:rFonts w:hint="eastAsia" w:eastAsia="楷体"/>
          <w:b/>
        </w:rPr>
        <w:t>（四）突出主体地位，保障代表依法履职</w:t>
      </w:r>
      <w:bookmarkEnd w:id="65"/>
    </w:p>
    <w:p>
      <w:pPr>
        <w:pStyle w:val="19"/>
      </w:pPr>
      <w:r>
        <w:rPr>
          <w:rFonts w:hint="eastAsia"/>
        </w:rPr>
        <w:t>坚持把加强和改进代表工作作为推进地方人大创新发展的基础，召开加强和改进全省人大代表工作交流会，整体安排部署，出台重要举措，支持和保障代表依法履职。密切常委会、各专委会和工作部门与代表的联系，健全完善邀请基层代表列席常委会会议、常委会负责同志与列席代表座谈等机制，广泛听取意见建议。拓展代表联系人民群众工作平台和网络平台，依托人大代表之家、代表工作站（室）经常性开展活动，促进代表联系群众常态化。</w:t>
      </w:r>
    </w:p>
    <w:p>
      <w:pPr>
        <w:pStyle w:val="19"/>
      </w:pPr>
      <w:r>
        <w:rPr>
          <w:rFonts w:hint="eastAsia"/>
        </w:rPr>
        <w:t>围绕全省发展大局和群众关心关切，组织代表就脱贫攻坚、生态文明建设、乡村振兴、民营经济发展等领域的重点问题，开展集中视察和专题调研，发挥代表在倾听民声、汇聚民意、凝聚民力方面的作用。在注重发挥整体作用的同时，按照代表构成建立履职名册，分类编成专业小组，组织熟悉相关领域的代表参与立法修法、执法检查，参加教育医疗、食品安全、社会治理等方面的调研视察，使更多代表参与常委会、专委会和工作部门的工作，更好发挥在闭会期间的作用。</w:t>
      </w:r>
    </w:p>
    <w:p>
      <w:pPr>
        <w:pStyle w:val="19"/>
      </w:pPr>
      <w:r>
        <w:rPr>
          <w:rFonts w:hint="eastAsia"/>
        </w:rPr>
        <w:t>认真落实“内容高质量、办理高质量”要求，加强和改进代表建议办理工作，进一步提高办理质量。建立省委省政府主要领导督办机制，省委书记、省长就相关建议进行现场督办，发挥了示范带动作用。坚持常委会领导和各专委会督办重点建议制度，做好代表建议网上交办、办理、答复、测评等工作。听取审议“一府两院”办理情况报告，对省政府有关部门办理工作进行满意度测评。“一府两院”和有关方面重视办理工作，省十三届人大三次会议期间代表提出的</w:t>
      </w:r>
      <w:r>
        <w:t>610件建议全部办理答复完毕。</w:t>
      </w:r>
    </w:p>
    <w:p>
      <w:pPr>
        <w:pStyle w:val="19"/>
      </w:pPr>
      <w:r>
        <w:rPr>
          <w:rFonts w:hint="eastAsia"/>
        </w:rPr>
        <w:t>根据疫情防控形势，统筹考虑代表履职需求，调整年度培训计划，科学设置学习内容，采取线上线下相结合的方式培训代表</w:t>
      </w:r>
      <w:r>
        <w:t>1200多人次，代表参加培训的积极性明显提高，培训效果进一步增强。落实代表履职登记制度，健全履职档案，加强履职管理，做好代表资格审查工作。支持在甘全国人大代表依法执行职务，为代表参加有关会议、专题培训、调研视察等活动做好服务保障。</w:t>
      </w:r>
    </w:p>
    <w:p>
      <w:pPr>
        <w:pStyle w:val="24"/>
        <w:numPr>
          <w:ilvl w:val="1"/>
          <w:numId w:val="0"/>
        </w:numPr>
      </w:pPr>
      <w:bookmarkStart w:id="66" w:name="_Toc76476761"/>
      <w:r>
        <w:rPr>
          <w:rFonts w:hint="eastAsia"/>
        </w:rPr>
        <w:t xml:space="preserve">    （五）加强自身建设，夯实人大履职基础</w:t>
      </w:r>
      <w:bookmarkEnd w:id="66"/>
    </w:p>
    <w:p>
      <w:pPr>
        <w:pStyle w:val="19"/>
      </w:pPr>
      <w:r>
        <w:rPr>
          <w:rFonts w:hint="eastAsia"/>
        </w:rPr>
        <w:t>巩固深化“不忘初心、牢记使命”主题教育成果，持续加强党性教育，推动形成了坚守初心使命、敢于担当作为的浓厚氛围。持续开展“大学习”，做实履职培训，组成人员和机关干部的能力水平有了新提升。健全常委会履职制度，坚持重点发言做法，发挥主任会议议事作用，常委会会议质量不断提高。完善工作机制，发挥专委会在加强地方立法、增强监督实效、支持代表履职等方面的作用。</w:t>
      </w:r>
    </w:p>
    <w:p>
      <w:pPr>
        <w:pStyle w:val="19"/>
      </w:pPr>
      <w:r>
        <w:rPr>
          <w:rFonts w:hint="eastAsia"/>
        </w:rPr>
        <w:t>加强与全国人大专委会、工作机构的联系和兄弟省区市人大的交流，积极争取全国人大的指导帮助，学习借鉴经验做法，促进工作提质增效。通过邀请市县人大常委会负责同志列席常委会会议、参加相关会议、开展业务培训等形式，采取省市县三级人大联动的方式开展执法检查，加强对市县人大工作的联系指导。组织开展专题调研、联合调研、委托调研，形成一批有价值的调研成果，及时上报省委并转交省政府，省委省政府主要领导同志多次作出批示，省委督查室跟踪督办，促进了成果转化。</w:t>
      </w:r>
    </w:p>
    <w:p>
      <w:pPr>
        <w:pStyle w:val="19"/>
      </w:pPr>
      <w:r>
        <w:rPr>
          <w:rFonts w:hint="eastAsia"/>
        </w:rPr>
        <w:t>持续抓紧做实机关思想政治建设、制度机制完善和干部培养使用，努力提高服务效能。严格落实中央八项规定及其实施细则精神，坚决反对“四风”，防止和克服形式主义、官僚主义。根据疫情防控实际，统筹安排调研检查视察活动，切实减轻基层负担。完善重点任务分解、跟踪督查等机制，强化责任担当，促进工作落实。加快智慧人大建设。改进新闻宣传工作，丰富报道内容，讲好人大故事，扩大社会影响力。</w:t>
      </w:r>
    </w:p>
    <w:p>
      <w:pPr>
        <w:pStyle w:val="21"/>
        <w:numPr>
          <w:ilvl w:val="0"/>
          <w:numId w:val="0"/>
        </w:numPr>
      </w:pPr>
      <w:bookmarkStart w:id="67" w:name="_Toc76476762"/>
      <w:bookmarkStart w:id="68" w:name="_Toc75790575"/>
      <w:r>
        <w:rPr>
          <w:rFonts w:hint="eastAsia"/>
        </w:rPr>
        <w:t xml:space="preserve">    五、存在的问题</w:t>
      </w:r>
      <w:bookmarkEnd w:id="67"/>
      <w:bookmarkEnd w:id="68"/>
    </w:p>
    <w:p>
      <w:pPr>
        <w:pStyle w:val="24"/>
        <w:numPr>
          <w:ilvl w:val="1"/>
          <w:numId w:val="0"/>
        </w:numPr>
        <w:ind w:left="709"/>
      </w:pPr>
      <w:bookmarkStart w:id="69" w:name="_Toc76476763"/>
      <w:r>
        <w:rPr>
          <w:rFonts w:hint="eastAsia"/>
        </w:rPr>
        <w:t>绩效目标设置不尽合理，科学性有待提高。</w:t>
      </w:r>
      <w:bookmarkEnd w:id="69"/>
    </w:p>
    <w:p>
      <w:pPr>
        <w:pStyle w:val="19"/>
      </w:pPr>
      <w:r>
        <w:rPr>
          <w:rFonts w:hint="eastAsia"/>
        </w:rPr>
        <w:t>评价组根据部门整体支出绩效目标表，发现存在绩效目标设置不尽合理，例如根据甘肃省人民代表大会常务委员会办公厅设置的</w:t>
      </w:r>
      <w:r>
        <w:t>2020年度</w:t>
      </w:r>
      <w:bookmarkStart w:id="70" w:name="_Hlk76393100"/>
      <w:r>
        <w:t>部门整体支出绩效目标表</w:t>
      </w:r>
      <w:bookmarkEnd w:id="70"/>
      <w:r>
        <w:t>，</w:t>
      </w:r>
      <w:r>
        <w:rPr>
          <w:rFonts w:hint="eastAsia"/>
        </w:rPr>
        <w:t>绩效目标设定不够明确，不能充分体现目标产出效益，影响力目标的设定不够准确，缺乏针对性</w:t>
      </w:r>
      <w:r>
        <w:t>，</w:t>
      </w:r>
      <w:r>
        <w:rPr>
          <w:rFonts w:hint="eastAsia"/>
        </w:rPr>
        <w:t>绩效指标的科学性有待提高，绩效指标还需细化、量化</w:t>
      </w:r>
      <w:r>
        <w:t>。</w:t>
      </w:r>
    </w:p>
    <w:p>
      <w:pPr>
        <w:pStyle w:val="21"/>
        <w:numPr>
          <w:ilvl w:val="0"/>
          <w:numId w:val="0"/>
        </w:numPr>
      </w:pPr>
      <w:bookmarkStart w:id="71" w:name="_Toc76476764"/>
      <w:bookmarkStart w:id="72" w:name="_Toc75790576"/>
      <w:r>
        <w:rPr>
          <w:rFonts w:hint="eastAsia"/>
        </w:rPr>
        <w:t xml:space="preserve">    六、对策建议</w:t>
      </w:r>
      <w:bookmarkEnd w:id="71"/>
      <w:bookmarkEnd w:id="72"/>
    </w:p>
    <w:p>
      <w:pPr>
        <w:pStyle w:val="24"/>
        <w:numPr>
          <w:ilvl w:val="1"/>
          <w:numId w:val="0"/>
        </w:numPr>
        <w:ind w:left="709"/>
      </w:pPr>
      <w:bookmarkStart w:id="73" w:name="_Toc76476765"/>
      <w:r>
        <w:rPr>
          <w:rFonts w:hint="eastAsia"/>
        </w:rPr>
        <w:t>遵循</w:t>
      </w:r>
      <w:r>
        <w:t>SMART原则，设置合理的绩效目标</w:t>
      </w:r>
      <w:bookmarkEnd w:id="73"/>
    </w:p>
    <w:p>
      <w:pPr>
        <w:pStyle w:val="19"/>
      </w:pPr>
      <w:r>
        <w:rPr>
          <w:rFonts w:hint="eastAsia"/>
        </w:rPr>
        <w:t>绩效目标的制定应遵循</w:t>
      </w:r>
      <w:r>
        <w:t>SMART原则，确保部门整体支出绩效目标是明确的、可衡量的、可实现的、相关的、有时限的。针对部门整体支出绩效目标的指标设置不合理的问题，</w:t>
      </w:r>
      <w:r>
        <w:rPr>
          <w:rFonts w:hint="eastAsia"/>
        </w:rPr>
        <w:t>在目标设定过程中依据往年部门履职成果，在充分调研数据的基础上，科学设定符合部门发展，贴合项目实际的可行性指标，</w:t>
      </w:r>
      <w:r>
        <w:t>在制定目标时，</w:t>
      </w:r>
      <w:r>
        <w:rPr>
          <w:rFonts w:hint="eastAsia"/>
        </w:rPr>
        <w:t>做到绩效目标的可衡量性及可实现性。</w:t>
      </w:r>
    </w:p>
    <w:p>
      <w:pPr>
        <w:pStyle w:val="21"/>
        <w:numPr>
          <w:ilvl w:val="0"/>
          <w:numId w:val="0"/>
        </w:numPr>
      </w:pPr>
      <w:bookmarkStart w:id="74" w:name="_Toc75790577"/>
      <w:bookmarkStart w:id="75" w:name="_Toc76476766"/>
      <w:r>
        <w:rPr>
          <w:rFonts w:hint="eastAsia"/>
        </w:rPr>
        <w:t xml:space="preserve">    七、其他需要说明的问题</w:t>
      </w:r>
      <w:bookmarkEnd w:id="74"/>
      <w:bookmarkEnd w:id="75"/>
    </w:p>
    <w:p>
      <w:pPr>
        <w:pStyle w:val="19"/>
      </w:pPr>
      <w:r>
        <w:rPr>
          <w:rFonts w:hint="eastAsia"/>
        </w:rPr>
        <w:t>无</w:t>
      </w:r>
    </w:p>
    <w:p>
      <w:pPr>
        <w:pStyle w:val="19"/>
      </w:pPr>
    </w:p>
    <w:p>
      <w:pPr>
        <w:pStyle w:val="19"/>
        <w:sectPr>
          <w:footerReference r:id="rId8" w:type="first"/>
          <w:pgSz w:w="11906" w:h="16838"/>
          <w:pgMar w:top="1701" w:right="1701" w:bottom="1701" w:left="1814" w:header="851" w:footer="992" w:gutter="0"/>
          <w:pgNumType w:start="1"/>
          <w:cols w:space="425" w:num="1"/>
          <w:titlePg/>
          <w:docGrid w:type="lines" w:linePitch="312" w:charSpace="0"/>
        </w:sectPr>
      </w:pPr>
    </w:p>
    <w:p>
      <w:pPr>
        <w:pStyle w:val="19"/>
        <w:ind w:firstLine="0" w:firstLineChars="0"/>
      </w:pPr>
      <w:r>
        <w:rPr>
          <w:rFonts w:hint="eastAsia"/>
        </w:rPr>
        <w:t>附件一 综合评分表</w:t>
      </w:r>
    </w:p>
    <w:tbl>
      <w:tblPr>
        <w:tblStyle w:val="16"/>
        <w:tblW w:w="15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08"/>
        <w:gridCol w:w="1283"/>
        <w:gridCol w:w="940"/>
        <w:gridCol w:w="760"/>
        <w:gridCol w:w="2397"/>
        <w:gridCol w:w="2300"/>
        <w:gridCol w:w="3920"/>
        <w:gridCol w:w="703"/>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jc w:val="center"/>
        </w:trPr>
        <w:tc>
          <w:tcPr>
            <w:tcW w:w="900" w:type="dxa"/>
            <w:shd w:val="clear" w:color="auto" w:fill="auto"/>
            <w:vAlign w:val="center"/>
          </w:tcPr>
          <w:p>
            <w:pPr>
              <w:pStyle w:val="37"/>
              <w:rPr>
                <w:b/>
                <w:bCs/>
              </w:rPr>
            </w:pPr>
            <w:r>
              <w:rPr>
                <w:b/>
                <w:bCs/>
              </w:rPr>
              <w:t>一级指标</w:t>
            </w:r>
          </w:p>
        </w:tc>
        <w:tc>
          <w:tcPr>
            <w:tcW w:w="1108" w:type="dxa"/>
            <w:shd w:val="clear" w:color="auto" w:fill="auto"/>
            <w:vAlign w:val="center"/>
          </w:tcPr>
          <w:p>
            <w:pPr>
              <w:pStyle w:val="37"/>
              <w:rPr>
                <w:b/>
                <w:bCs/>
              </w:rPr>
            </w:pPr>
            <w:r>
              <w:rPr>
                <w:b/>
                <w:bCs/>
              </w:rPr>
              <w:t>二级指标</w:t>
            </w:r>
          </w:p>
        </w:tc>
        <w:tc>
          <w:tcPr>
            <w:tcW w:w="1283" w:type="dxa"/>
            <w:shd w:val="clear" w:color="auto" w:fill="auto"/>
            <w:vAlign w:val="center"/>
          </w:tcPr>
          <w:p>
            <w:pPr>
              <w:pStyle w:val="37"/>
              <w:rPr>
                <w:b/>
                <w:bCs/>
              </w:rPr>
            </w:pPr>
            <w:r>
              <w:rPr>
                <w:b/>
                <w:bCs/>
              </w:rPr>
              <w:t>三级指标</w:t>
            </w:r>
          </w:p>
        </w:tc>
        <w:tc>
          <w:tcPr>
            <w:tcW w:w="940" w:type="dxa"/>
            <w:shd w:val="clear" w:color="auto" w:fill="auto"/>
            <w:vAlign w:val="center"/>
          </w:tcPr>
          <w:p>
            <w:pPr>
              <w:pStyle w:val="37"/>
              <w:rPr>
                <w:b/>
                <w:bCs/>
              </w:rPr>
            </w:pPr>
            <w:r>
              <w:rPr>
                <w:b/>
                <w:bCs/>
              </w:rPr>
              <w:t>标杆值</w:t>
            </w:r>
          </w:p>
        </w:tc>
        <w:tc>
          <w:tcPr>
            <w:tcW w:w="760" w:type="dxa"/>
            <w:shd w:val="clear" w:color="auto" w:fill="auto"/>
            <w:vAlign w:val="center"/>
          </w:tcPr>
          <w:p>
            <w:pPr>
              <w:pStyle w:val="37"/>
              <w:rPr>
                <w:b/>
                <w:bCs/>
              </w:rPr>
            </w:pPr>
            <w:r>
              <w:rPr>
                <w:b/>
                <w:bCs/>
              </w:rPr>
              <w:t>权重</w:t>
            </w:r>
          </w:p>
        </w:tc>
        <w:tc>
          <w:tcPr>
            <w:tcW w:w="2397" w:type="dxa"/>
            <w:shd w:val="clear" w:color="auto" w:fill="auto"/>
            <w:vAlign w:val="center"/>
          </w:tcPr>
          <w:p>
            <w:pPr>
              <w:pStyle w:val="37"/>
              <w:rPr>
                <w:b/>
                <w:bCs/>
              </w:rPr>
            </w:pPr>
            <w:r>
              <w:rPr>
                <w:b/>
                <w:bCs/>
              </w:rPr>
              <w:t>指标解释</w:t>
            </w:r>
          </w:p>
        </w:tc>
        <w:tc>
          <w:tcPr>
            <w:tcW w:w="2300" w:type="dxa"/>
            <w:shd w:val="clear" w:color="auto" w:fill="auto"/>
            <w:vAlign w:val="center"/>
          </w:tcPr>
          <w:p>
            <w:pPr>
              <w:pStyle w:val="37"/>
              <w:rPr>
                <w:b/>
                <w:bCs/>
              </w:rPr>
            </w:pPr>
            <w:r>
              <w:rPr>
                <w:b/>
                <w:bCs/>
              </w:rPr>
              <w:t>评分标准</w:t>
            </w:r>
          </w:p>
        </w:tc>
        <w:tc>
          <w:tcPr>
            <w:tcW w:w="3920" w:type="dxa"/>
            <w:shd w:val="clear" w:color="auto" w:fill="auto"/>
            <w:vAlign w:val="center"/>
          </w:tcPr>
          <w:p>
            <w:pPr>
              <w:pStyle w:val="37"/>
              <w:rPr>
                <w:b/>
                <w:bCs/>
              </w:rPr>
            </w:pPr>
            <w:r>
              <w:rPr>
                <w:b/>
                <w:bCs/>
              </w:rPr>
              <w:t>业绩指</w:t>
            </w:r>
          </w:p>
        </w:tc>
        <w:tc>
          <w:tcPr>
            <w:tcW w:w="703" w:type="dxa"/>
            <w:shd w:val="clear" w:color="auto" w:fill="auto"/>
            <w:vAlign w:val="center"/>
          </w:tcPr>
          <w:p>
            <w:pPr>
              <w:pStyle w:val="37"/>
              <w:rPr>
                <w:b/>
                <w:bCs/>
              </w:rPr>
            </w:pPr>
            <w:r>
              <w:rPr>
                <w:b/>
                <w:bCs/>
              </w:rPr>
              <w:t>得分</w:t>
            </w:r>
          </w:p>
        </w:tc>
        <w:tc>
          <w:tcPr>
            <w:tcW w:w="985" w:type="dxa"/>
            <w:shd w:val="clear" w:color="auto" w:fill="auto"/>
            <w:vAlign w:val="center"/>
          </w:tcPr>
          <w:p>
            <w:pPr>
              <w:pStyle w:val="37"/>
              <w:rPr>
                <w:b/>
                <w:bCs/>
              </w:rPr>
            </w:pPr>
            <w:r>
              <w:rPr>
                <w:b/>
                <w:bC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900" w:type="dxa"/>
            <w:shd w:val="clear" w:color="auto" w:fill="auto"/>
            <w:vAlign w:val="center"/>
          </w:tcPr>
          <w:p>
            <w:pPr>
              <w:pStyle w:val="37"/>
            </w:pPr>
            <w:r>
              <w:t>A部门决策</w:t>
            </w:r>
          </w:p>
        </w:tc>
        <w:tc>
          <w:tcPr>
            <w:tcW w:w="1108" w:type="dxa"/>
            <w:shd w:val="clear" w:color="auto" w:fill="auto"/>
            <w:vAlign w:val="center"/>
          </w:tcPr>
          <w:p>
            <w:pPr>
              <w:pStyle w:val="37"/>
            </w:pP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17</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A1部门职能</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A11部门职能明确性</w:t>
            </w:r>
          </w:p>
        </w:tc>
        <w:tc>
          <w:tcPr>
            <w:tcW w:w="940" w:type="dxa"/>
            <w:shd w:val="clear" w:color="auto" w:fill="auto"/>
            <w:vAlign w:val="center"/>
          </w:tcPr>
          <w:p>
            <w:pPr>
              <w:pStyle w:val="37"/>
            </w:pPr>
            <w:r>
              <w:t>明确</w:t>
            </w: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考察部门、各个处室、下属单位是否具有明确的职能。</w:t>
            </w:r>
          </w:p>
        </w:tc>
        <w:tc>
          <w:tcPr>
            <w:tcW w:w="2300" w:type="dxa"/>
            <w:shd w:val="clear" w:color="auto" w:fill="auto"/>
            <w:vAlign w:val="center"/>
          </w:tcPr>
          <w:p>
            <w:pPr>
              <w:pStyle w:val="37"/>
              <w:jc w:val="both"/>
            </w:pPr>
            <w:r>
              <w:rPr>
                <w:rFonts w:hint="eastAsia"/>
              </w:rPr>
              <w:t>①</w:t>
            </w:r>
            <w:r>
              <w:t>部门是否具有明确的职能；</w:t>
            </w:r>
            <w:r>
              <w:rPr>
                <w:rFonts w:hint="eastAsia"/>
              </w:rPr>
              <w:t>②</w:t>
            </w:r>
            <w:r>
              <w:t>部门各科室是否均具有明确职能；以上两项各占1/2权重分，符合得对应权重分，否则不得分。</w:t>
            </w:r>
          </w:p>
        </w:tc>
        <w:tc>
          <w:tcPr>
            <w:tcW w:w="3920" w:type="dxa"/>
            <w:shd w:val="clear" w:color="auto" w:fill="auto"/>
            <w:vAlign w:val="center"/>
          </w:tcPr>
          <w:p>
            <w:pPr>
              <w:pStyle w:val="37"/>
              <w:jc w:val="both"/>
            </w:pPr>
            <w:r>
              <w:rPr>
                <w:rFonts w:hint="eastAsia"/>
              </w:rPr>
              <w:t>中共甘肃省委关于印发《甘肃省人大常委会机关机构改革方案》的通知</w:t>
            </w:r>
            <w:r>
              <w:t>明确了部门的职能，并对部门内设机构的职责分工进行了详细的划分。根据指标评分标准，该指标得满分。</w:t>
            </w:r>
          </w:p>
        </w:tc>
        <w:tc>
          <w:tcPr>
            <w:tcW w:w="703" w:type="dxa"/>
            <w:shd w:val="clear" w:color="auto" w:fill="auto"/>
            <w:vAlign w:val="center"/>
          </w:tcPr>
          <w:p>
            <w:pPr>
              <w:pStyle w:val="37"/>
            </w:pPr>
            <w:r>
              <w:t>2.0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A2部门战略规划</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6</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A21战略规划明确性</w:t>
            </w:r>
          </w:p>
        </w:tc>
        <w:tc>
          <w:tcPr>
            <w:tcW w:w="940" w:type="dxa"/>
            <w:shd w:val="clear" w:color="auto" w:fill="auto"/>
            <w:vAlign w:val="center"/>
          </w:tcPr>
          <w:p>
            <w:pPr>
              <w:pStyle w:val="37"/>
            </w:pPr>
            <w:r>
              <w:t>明确</w:t>
            </w: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考察部门是否具有明确的战略规划。</w:t>
            </w:r>
          </w:p>
        </w:tc>
        <w:tc>
          <w:tcPr>
            <w:tcW w:w="2300" w:type="dxa"/>
            <w:shd w:val="clear" w:color="auto" w:fill="auto"/>
            <w:vAlign w:val="center"/>
          </w:tcPr>
          <w:p>
            <w:pPr>
              <w:pStyle w:val="37"/>
              <w:jc w:val="both"/>
            </w:pPr>
            <w:r>
              <w:rPr>
                <w:rFonts w:hint="eastAsia"/>
              </w:rPr>
              <w:t>①</w:t>
            </w:r>
            <w:r>
              <w:t>部门是否具有战略规划；</w:t>
            </w:r>
            <w:r>
              <w:rPr>
                <w:rFonts w:hint="eastAsia"/>
              </w:rPr>
              <w:t>②</w:t>
            </w:r>
            <w:r>
              <w:t>规划是否对总体目标、规划实施内容、时间安排有明确安排。以上2项各占1/2权重分，符合得对应权重分，否则不得分。</w:t>
            </w:r>
          </w:p>
        </w:tc>
        <w:tc>
          <w:tcPr>
            <w:tcW w:w="3920" w:type="dxa"/>
            <w:shd w:val="clear" w:color="auto" w:fill="auto"/>
            <w:vAlign w:val="center"/>
          </w:tcPr>
          <w:p>
            <w:pPr>
              <w:pStyle w:val="37"/>
              <w:jc w:val="both"/>
              <w:rPr>
                <w:highlight w:val="yellow"/>
              </w:rPr>
            </w:pPr>
            <w:r>
              <w:rPr>
                <w:rFonts w:hint="eastAsia"/>
              </w:rPr>
              <w:t>①甘肃省人大常委会制定《甘肃省人大常委会</w:t>
            </w:r>
            <w:r>
              <w:t>2020年工作要点》</w:t>
            </w:r>
            <w:r>
              <w:rPr>
                <w:rFonts w:hint="eastAsia" w:ascii="宋体" w:hAnsi="宋体" w:eastAsia="宋体" w:cs="宋体"/>
              </w:rPr>
              <w:t>②</w:t>
            </w:r>
            <w:r>
              <w:rPr>
                <w:rFonts w:hint="eastAsia" w:cs="Times New Roman"/>
              </w:rPr>
              <w:t>《甘肃省人大常委会</w:t>
            </w:r>
            <w:r>
              <w:rPr>
                <w:rFonts w:cs="Times New Roman"/>
              </w:rPr>
              <w:t>2020年工作要点》</w:t>
            </w:r>
            <w:r>
              <w:t>中明确了</w:t>
            </w:r>
            <w:r>
              <w:rPr>
                <w:rFonts w:hint="eastAsia"/>
              </w:rPr>
              <w:t>甘肃省人大常委会</w:t>
            </w:r>
            <w:r>
              <w:t>的总体目标、并对各项目标进行分解。但在“2020年工作</w:t>
            </w:r>
            <w:r>
              <w:rPr>
                <w:rFonts w:hint="eastAsia"/>
              </w:rPr>
              <w:t>要点</w:t>
            </w:r>
            <w:r>
              <w:t>”中并未具体分析目标实现的途径、改革发展的措施和资金测算等。根据指标评分标准，扣除0.5分。</w:t>
            </w:r>
          </w:p>
        </w:tc>
        <w:tc>
          <w:tcPr>
            <w:tcW w:w="703" w:type="dxa"/>
            <w:shd w:val="clear" w:color="auto" w:fill="auto"/>
            <w:vAlign w:val="center"/>
          </w:tcPr>
          <w:p>
            <w:pPr>
              <w:pStyle w:val="37"/>
            </w:pPr>
            <w:r>
              <w:t>2.5</w:t>
            </w:r>
          </w:p>
        </w:tc>
        <w:tc>
          <w:tcPr>
            <w:tcW w:w="985" w:type="dxa"/>
            <w:shd w:val="clear" w:color="auto" w:fill="auto"/>
            <w:vAlign w:val="center"/>
          </w:tcPr>
          <w:p>
            <w:pPr>
              <w:pStyle w:val="37"/>
            </w:pPr>
            <w: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A22战略规划匹配性</w:t>
            </w:r>
          </w:p>
        </w:tc>
        <w:tc>
          <w:tcPr>
            <w:tcW w:w="940" w:type="dxa"/>
            <w:shd w:val="clear" w:color="auto" w:fill="auto"/>
            <w:vAlign w:val="center"/>
          </w:tcPr>
          <w:p>
            <w:pPr>
              <w:pStyle w:val="37"/>
            </w:pPr>
            <w:r>
              <w:t>匹配</w:t>
            </w: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考察部门战略规划是否与部门职能相匹配。</w:t>
            </w:r>
          </w:p>
        </w:tc>
        <w:tc>
          <w:tcPr>
            <w:tcW w:w="2300" w:type="dxa"/>
            <w:shd w:val="clear" w:color="auto" w:fill="auto"/>
            <w:vAlign w:val="center"/>
          </w:tcPr>
          <w:p>
            <w:pPr>
              <w:pStyle w:val="37"/>
              <w:jc w:val="both"/>
            </w:pPr>
            <w:r>
              <w:t>部门战略规划中的各项规划是否均符合部门职能。符合条件得分，否则每有一项不符合扣10%权重分，扣完为止。</w:t>
            </w:r>
          </w:p>
        </w:tc>
        <w:tc>
          <w:tcPr>
            <w:tcW w:w="3920" w:type="dxa"/>
            <w:shd w:val="clear" w:color="auto" w:fill="auto"/>
            <w:vAlign w:val="center"/>
          </w:tcPr>
          <w:p>
            <w:pPr>
              <w:pStyle w:val="37"/>
              <w:jc w:val="both"/>
              <w:rPr>
                <w:highlight w:val="yellow"/>
              </w:rPr>
            </w:pPr>
            <w:r>
              <w:rPr>
                <w:rFonts w:hint="eastAsia"/>
              </w:rPr>
              <w:t>根据甘肃省人大常委会制定的《甘肃省人大常委会</w:t>
            </w:r>
            <w:r>
              <w:t>2020年工作要点》中的各项规划均符合部门职能，根据指标评分标准，该指标得满分。</w:t>
            </w:r>
          </w:p>
        </w:tc>
        <w:tc>
          <w:tcPr>
            <w:tcW w:w="703" w:type="dxa"/>
            <w:shd w:val="clear" w:color="auto" w:fill="auto"/>
            <w:vAlign w:val="center"/>
          </w:tcPr>
          <w:p>
            <w:pPr>
              <w:pStyle w:val="37"/>
            </w:pPr>
            <w:r>
              <w:t>2</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A23战略规划完整性</w:t>
            </w:r>
          </w:p>
        </w:tc>
        <w:tc>
          <w:tcPr>
            <w:tcW w:w="940" w:type="dxa"/>
            <w:shd w:val="clear" w:color="auto" w:fill="auto"/>
            <w:vAlign w:val="center"/>
          </w:tcPr>
          <w:p>
            <w:pPr>
              <w:pStyle w:val="37"/>
            </w:pPr>
            <w:r>
              <w:t>完整</w:t>
            </w:r>
          </w:p>
        </w:tc>
        <w:tc>
          <w:tcPr>
            <w:tcW w:w="760" w:type="dxa"/>
            <w:shd w:val="clear" w:color="auto" w:fill="auto"/>
            <w:vAlign w:val="center"/>
          </w:tcPr>
          <w:p>
            <w:pPr>
              <w:pStyle w:val="37"/>
            </w:pPr>
            <w:r>
              <w:t>1</w:t>
            </w:r>
          </w:p>
        </w:tc>
        <w:tc>
          <w:tcPr>
            <w:tcW w:w="2397" w:type="dxa"/>
            <w:shd w:val="clear" w:color="auto" w:fill="auto"/>
            <w:vAlign w:val="center"/>
          </w:tcPr>
          <w:p>
            <w:pPr>
              <w:pStyle w:val="37"/>
              <w:jc w:val="both"/>
            </w:pPr>
            <w:r>
              <w:t>考察部门战略规划是否针对部门全部职能进行了规划。</w:t>
            </w:r>
          </w:p>
        </w:tc>
        <w:tc>
          <w:tcPr>
            <w:tcW w:w="2300" w:type="dxa"/>
            <w:shd w:val="clear" w:color="auto" w:fill="auto"/>
            <w:vAlign w:val="center"/>
          </w:tcPr>
          <w:p>
            <w:pPr>
              <w:pStyle w:val="37"/>
              <w:jc w:val="both"/>
            </w:pPr>
            <w:r>
              <w:t>部门战略目标对部门各项职能的履行是否均进行了完整规划。符合条件得分，否则每有一项不符合扣10%权重分，扣完为止。</w:t>
            </w:r>
          </w:p>
        </w:tc>
        <w:tc>
          <w:tcPr>
            <w:tcW w:w="3920" w:type="dxa"/>
            <w:shd w:val="clear" w:color="auto" w:fill="auto"/>
            <w:vAlign w:val="center"/>
          </w:tcPr>
          <w:p>
            <w:pPr>
              <w:pStyle w:val="37"/>
              <w:jc w:val="both"/>
              <w:rPr>
                <w:highlight w:val="yellow"/>
              </w:rPr>
            </w:pPr>
            <w:r>
              <w:rPr>
                <w:rFonts w:hint="eastAsia"/>
              </w:rPr>
              <w:t>根据甘肃省人大常委会制定的《甘肃省人大常委会</w:t>
            </w:r>
            <w:r>
              <w:t>2020年工作要点》对部门各项职能的履行均进行了完整规划。根据指标评分标准，该指标得满分。</w:t>
            </w:r>
          </w:p>
        </w:tc>
        <w:tc>
          <w:tcPr>
            <w:tcW w:w="703" w:type="dxa"/>
            <w:shd w:val="clear" w:color="auto" w:fill="auto"/>
            <w:vAlign w:val="center"/>
          </w:tcPr>
          <w:p>
            <w:pPr>
              <w:pStyle w:val="37"/>
            </w:pPr>
            <w:r>
              <w:t>1</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A3部门年度工作计划</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6</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A31年度工作计划明确性</w:t>
            </w:r>
          </w:p>
        </w:tc>
        <w:tc>
          <w:tcPr>
            <w:tcW w:w="940" w:type="dxa"/>
            <w:shd w:val="clear" w:color="auto" w:fill="auto"/>
            <w:vAlign w:val="center"/>
          </w:tcPr>
          <w:p>
            <w:pPr>
              <w:pStyle w:val="37"/>
            </w:pPr>
            <w:r>
              <w:t>明确</w:t>
            </w: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考察20</w:t>
            </w:r>
            <w:r>
              <w:rPr>
                <w:rFonts w:hint="eastAsia"/>
              </w:rPr>
              <w:t>20</w:t>
            </w:r>
            <w:r>
              <w:t>年部门是否具有明确的年度工作计划。</w:t>
            </w:r>
          </w:p>
        </w:tc>
        <w:tc>
          <w:tcPr>
            <w:tcW w:w="2300" w:type="dxa"/>
            <w:shd w:val="clear" w:color="auto" w:fill="auto"/>
            <w:vAlign w:val="center"/>
          </w:tcPr>
          <w:p>
            <w:pPr>
              <w:pStyle w:val="37"/>
              <w:jc w:val="both"/>
            </w:pPr>
            <w:r>
              <w:rPr>
                <w:rFonts w:hint="eastAsia"/>
              </w:rPr>
              <w:t>①</w:t>
            </w:r>
            <w:r>
              <w:t>是否制定年度工作计划；</w:t>
            </w:r>
            <w:r>
              <w:rPr>
                <w:rFonts w:hint="eastAsia"/>
              </w:rPr>
              <w:t>②</w:t>
            </w:r>
            <w:r>
              <w:t>年度计划是否有明确的时间安排；</w:t>
            </w:r>
            <w:r>
              <w:rPr>
                <w:rFonts w:hint="eastAsia"/>
              </w:rPr>
              <w:t>③</w:t>
            </w:r>
            <w:r>
              <w:t>年度计划是否有明确的人员安排；</w:t>
            </w:r>
            <w:r>
              <w:rPr>
                <w:rFonts w:hint="eastAsia"/>
              </w:rPr>
              <w:t>④</w:t>
            </w:r>
            <w:r>
              <w:t>年度计划是否有明确的资金安排。以上4项各占1/4权重分，符合得对应权重分，否则不得分。</w:t>
            </w:r>
          </w:p>
        </w:tc>
        <w:tc>
          <w:tcPr>
            <w:tcW w:w="3920" w:type="dxa"/>
            <w:shd w:val="clear" w:color="auto" w:fill="auto"/>
            <w:vAlign w:val="center"/>
          </w:tcPr>
          <w:p>
            <w:pPr>
              <w:pStyle w:val="37"/>
              <w:jc w:val="both"/>
            </w:pPr>
            <w:r>
              <w:rPr>
                <w:rFonts w:hint="eastAsia"/>
              </w:rPr>
              <w:t>甘肃省人大常委会发布</w:t>
            </w:r>
            <w:r>
              <w:t>了《</w:t>
            </w:r>
            <w:r>
              <w:rPr>
                <w:rFonts w:hint="eastAsia"/>
              </w:rPr>
              <w:t>甘肃省人大常委会</w:t>
            </w:r>
            <w:r>
              <w:t>2020年工作要点，文件中明确了20</w:t>
            </w:r>
            <w:r>
              <w:rPr>
                <w:rFonts w:hint="eastAsia"/>
              </w:rPr>
              <w:t>20</w:t>
            </w:r>
            <w:r>
              <w:t>年度重点工作内容、各项目的进度和人员安排，此外在《绩效目标申报表》中明确了重点工作项目的资金预算安排。根据指标评分标准，该指标得满分。</w:t>
            </w:r>
          </w:p>
        </w:tc>
        <w:tc>
          <w:tcPr>
            <w:tcW w:w="703" w:type="dxa"/>
            <w:shd w:val="clear" w:color="auto" w:fill="auto"/>
            <w:vAlign w:val="center"/>
          </w:tcPr>
          <w:p>
            <w:pPr>
              <w:pStyle w:val="37"/>
            </w:pPr>
            <w:r>
              <w:t>3.00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w:t>
            </w:r>
            <w:r>
              <w:rPr>
                <w:rFonts w:hint="eastAsia"/>
              </w:rPr>
              <w:t>32</w:t>
            </w:r>
            <w:r>
              <w:t>年度工作计划匹配性</w:t>
            </w:r>
          </w:p>
        </w:tc>
        <w:tc>
          <w:tcPr>
            <w:tcW w:w="940" w:type="dxa"/>
            <w:shd w:val="clear" w:color="auto" w:fill="auto"/>
            <w:vAlign w:val="center"/>
          </w:tcPr>
          <w:p>
            <w:pPr>
              <w:pStyle w:val="37"/>
            </w:pPr>
            <w:r>
              <w:t>匹配</w:t>
            </w: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考察部门年度工作计划是否与部门职能及部门规划相匹配。</w:t>
            </w:r>
          </w:p>
        </w:tc>
        <w:tc>
          <w:tcPr>
            <w:tcW w:w="2300" w:type="dxa"/>
            <w:shd w:val="clear" w:color="auto" w:fill="auto"/>
            <w:vAlign w:val="center"/>
          </w:tcPr>
          <w:p>
            <w:pPr>
              <w:pStyle w:val="37"/>
              <w:jc w:val="both"/>
            </w:pPr>
            <w:r>
              <w:t>部门年度工作计划中的各项规划</w:t>
            </w:r>
            <w:r>
              <w:rPr>
                <w:rFonts w:hint="eastAsia"/>
              </w:rPr>
              <w:t>①</w:t>
            </w:r>
            <w:r>
              <w:t>是否均符合部门职能；</w:t>
            </w:r>
            <w:r>
              <w:rPr>
                <w:rFonts w:hint="eastAsia"/>
              </w:rPr>
              <w:t>②</w:t>
            </w:r>
            <w:r>
              <w:t>是否与部门和行业战略规划相匹配。以上2项各占1/2权重分，符合得对应权重分，否则不得分。</w:t>
            </w:r>
          </w:p>
        </w:tc>
        <w:tc>
          <w:tcPr>
            <w:tcW w:w="3920" w:type="dxa"/>
            <w:shd w:val="clear" w:color="auto" w:fill="auto"/>
            <w:vAlign w:val="center"/>
          </w:tcPr>
          <w:p>
            <w:pPr>
              <w:pStyle w:val="37"/>
              <w:jc w:val="both"/>
            </w:pPr>
            <w:r>
              <w:t>部门年度工作要点中的各项规划均符合部门职能，且与部门和行业战略规划相匹配。根据指标评分标准，该指标得满分。</w:t>
            </w:r>
          </w:p>
        </w:tc>
        <w:tc>
          <w:tcPr>
            <w:tcW w:w="703" w:type="dxa"/>
            <w:shd w:val="clear" w:color="auto" w:fill="auto"/>
            <w:vAlign w:val="center"/>
          </w:tcPr>
          <w:p>
            <w:pPr>
              <w:pStyle w:val="37"/>
            </w:pPr>
            <w:r>
              <w:t>2.00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A33年度工作计划完整性</w:t>
            </w:r>
          </w:p>
        </w:tc>
        <w:tc>
          <w:tcPr>
            <w:tcW w:w="940" w:type="dxa"/>
            <w:shd w:val="clear" w:color="auto" w:fill="auto"/>
            <w:vAlign w:val="center"/>
          </w:tcPr>
          <w:p>
            <w:pPr>
              <w:pStyle w:val="37"/>
            </w:pPr>
            <w:r>
              <w:t>完整</w:t>
            </w:r>
          </w:p>
        </w:tc>
        <w:tc>
          <w:tcPr>
            <w:tcW w:w="760" w:type="dxa"/>
            <w:shd w:val="clear" w:color="auto" w:fill="auto"/>
            <w:vAlign w:val="center"/>
          </w:tcPr>
          <w:p>
            <w:pPr>
              <w:pStyle w:val="37"/>
            </w:pPr>
            <w:r>
              <w:t>1</w:t>
            </w:r>
          </w:p>
        </w:tc>
        <w:tc>
          <w:tcPr>
            <w:tcW w:w="2397" w:type="dxa"/>
            <w:shd w:val="clear" w:color="auto" w:fill="auto"/>
            <w:vAlign w:val="center"/>
          </w:tcPr>
          <w:p>
            <w:pPr>
              <w:pStyle w:val="37"/>
              <w:jc w:val="both"/>
            </w:pPr>
            <w:r>
              <w:t>考察部门年度工作计划是否针对部门全部职能的履行进行了计划安排。</w:t>
            </w:r>
          </w:p>
        </w:tc>
        <w:tc>
          <w:tcPr>
            <w:tcW w:w="2300" w:type="dxa"/>
            <w:shd w:val="clear" w:color="auto" w:fill="auto"/>
            <w:vAlign w:val="center"/>
          </w:tcPr>
          <w:p>
            <w:pPr>
              <w:pStyle w:val="37"/>
              <w:jc w:val="both"/>
            </w:pPr>
            <w:r>
              <w:rPr>
                <w:rFonts w:hint="eastAsia"/>
              </w:rPr>
              <w:t>①</w:t>
            </w:r>
            <w:r>
              <w:t>部门年度工作计划针对部门全部职能的履行是否都进行了计划安排；</w:t>
            </w:r>
            <w:r>
              <w:rPr>
                <w:rFonts w:hint="eastAsia"/>
              </w:rPr>
              <w:t>②</w:t>
            </w:r>
            <w:r>
              <w:t>部门项目安排是否合理、不重复。以上2项各占1/2权重分，符合得对应权重分，否则不得分。</w:t>
            </w:r>
          </w:p>
        </w:tc>
        <w:tc>
          <w:tcPr>
            <w:tcW w:w="3920" w:type="dxa"/>
            <w:shd w:val="clear" w:color="auto" w:fill="auto"/>
            <w:vAlign w:val="center"/>
          </w:tcPr>
          <w:p>
            <w:pPr>
              <w:pStyle w:val="37"/>
              <w:jc w:val="both"/>
            </w:pPr>
            <w:r>
              <w:rPr>
                <w:rFonts w:hint="eastAsia"/>
              </w:rPr>
              <w:t>①</w:t>
            </w:r>
            <w:r>
              <w:t>部门年度工作计划针对部门全部职能的履行均进行了计划安排；</w:t>
            </w:r>
            <w:r>
              <w:rPr>
                <w:rFonts w:hint="eastAsia"/>
              </w:rPr>
              <w:t>②</w:t>
            </w:r>
            <w:r>
              <w:t>部门项目安排合理、不重复。根据指标评分标准，该指标得满分。</w:t>
            </w:r>
          </w:p>
        </w:tc>
        <w:tc>
          <w:tcPr>
            <w:tcW w:w="703" w:type="dxa"/>
            <w:shd w:val="clear" w:color="auto" w:fill="auto"/>
            <w:vAlign w:val="center"/>
          </w:tcPr>
          <w:p>
            <w:pPr>
              <w:pStyle w:val="37"/>
            </w:pPr>
            <w:r>
              <w:t>1.00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A4部门绩效目标设定</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A41年度绩效目标合理性</w:t>
            </w:r>
          </w:p>
        </w:tc>
        <w:tc>
          <w:tcPr>
            <w:tcW w:w="940" w:type="dxa"/>
            <w:shd w:val="clear" w:color="auto" w:fill="auto"/>
            <w:vAlign w:val="center"/>
          </w:tcPr>
          <w:p>
            <w:pPr>
              <w:pStyle w:val="37"/>
            </w:pPr>
            <w:r>
              <w:t>合理</w:t>
            </w: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考察20</w:t>
            </w:r>
            <w:r>
              <w:rPr>
                <w:rFonts w:hint="eastAsia"/>
              </w:rPr>
              <w:t>20</w:t>
            </w:r>
            <w:r>
              <w:t>年部门整体绩效目标是否科学、合理，用以反映和考核部门绩效目标设置的科学性、合理性。</w:t>
            </w:r>
          </w:p>
        </w:tc>
        <w:tc>
          <w:tcPr>
            <w:tcW w:w="2300" w:type="dxa"/>
            <w:shd w:val="clear" w:color="auto" w:fill="auto"/>
            <w:vAlign w:val="center"/>
          </w:tcPr>
          <w:p>
            <w:pPr>
              <w:pStyle w:val="37"/>
              <w:jc w:val="both"/>
            </w:pPr>
            <w:r>
              <w:rPr>
                <w:rFonts w:hint="eastAsia"/>
              </w:rPr>
              <w:t>①</w:t>
            </w:r>
            <w:r>
              <w:t>部门预算绩效目标的设置依据是否充分；</w:t>
            </w:r>
            <w:r>
              <w:rPr>
                <w:rFonts w:hint="eastAsia"/>
              </w:rPr>
              <w:t>②</w:t>
            </w:r>
            <w:r>
              <w:t>部门绩效目标与部门年度的任务数或计划数是否对应；</w:t>
            </w:r>
            <w:r>
              <w:rPr>
                <w:rFonts w:hint="eastAsia"/>
              </w:rPr>
              <w:t>③</w:t>
            </w:r>
            <w:r>
              <w:t>部门绩效目标与本年度预算资金是否匹配。以上三项各占1/3权重分，符合得对应权重分，否则不得分。</w:t>
            </w:r>
          </w:p>
        </w:tc>
        <w:tc>
          <w:tcPr>
            <w:tcW w:w="3920" w:type="dxa"/>
            <w:shd w:val="clear" w:color="auto" w:fill="auto"/>
            <w:vAlign w:val="center"/>
          </w:tcPr>
          <w:p>
            <w:pPr>
              <w:pStyle w:val="37"/>
              <w:jc w:val="both"/>
            </w:pPr>
            <w:r>
              <w:t>根据《绩效目标申报表》相关内容，</w:t>
            </w:r>
            <w:r>
              <w:rPr>
                <w:rFonts w:hint="eastAsia"/>
              </w:rPr>
              <w:t>①</w:t>
            </w:r>
            <w:r>
              <w:t>部门预算绩效目标的设置依据较充分；</w:t>
            </w:r>
            <w:r>
              <w:rPr>
                <w:rFonts w:hint="eastAsia"/>
              </w:rPr>
              <w:t>②</w:t>
            </w:r>
            <w:r>
              <w:t>部门绩效目标与部门年度的任务数或计划数相对应；</w:t>
            </w:r>
            <w:r>
              <w:rPr>
                <w:rFonts w:hint="eastAsia"/>
              </w:rPr>
              <w:t>③</w:t>
            </w:r>
            <w:r>
              <w:t>根据决算情况，部门绩效目标确定的项目预算与本年度项目实际支出存在一定的偏差，根据指标评分标准，该指标得1.33分。</w:t>
            </w:r>
          </w:p>
        </w:tc>
        <w:tc>
          <w:tcPr>
            <w:tcW w:w="703" w:type="dxa"/>
            <w:shd w:val="clear" w:color="auto" w:fill="auto"/>
            <w:vAlign w:val="center"/>
          </w:tcPr>
          <w:p>
            <w:pPr>
              <w:pStyle w:val="37"/>
            </w:pPr>
            <w:r>
              <w:t>1.33</w:t>
            </w:r>
          </w:p>
        </w:tc>
        <w:tc>
          <w:tcPr>
            <w:tcW w:w="985" w:type="dxa"/>
            <w:shd w:val="clear" w:color="auto" w:fill="auto"/>
            <w:vAlign w:val="center"/>
          </w:tcPr>
          <w:p>
            <w:pPr>
              <w:pStyle w:val="37"/>
            </w:pPr>
            <w:r>
              <w:t>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A42年度绩效目标明确性</w:t>
            </w:r>
          </w:p>
        </w:tc>
        <w:tc>
          <w:tcPr>
            <w:tcW w:w="940" w:type="dxa"/>
            <w:shd w:val="clear" w:color="auto" w:fill="auto"/>
            <w:vAlign w:val="center"/>
          </w:tcPr>
          <w:p>
            <w:pPr>
              <w:pStyle w:val="37"/>
            </w:pPr>
            <w:r>
              <w:t>明确</w:t>
            </w:r>
          </w:p>
        </w:tc>
        <w:tc>
          <w:tcPr>
            <w:tcW w:w="760" w:type="dxa"/>
            <w:shd w:val="clear" w:color="auto" w:fill="auto"/>
            <w:vAlign w:val="center"/>
          </w:tcPr>
          <w:p>
            <w:pPr>
              <w:pStyle w:val="37"/>
            </w:pPr>
            <w:r>
              <w:t>1</w:t>
            </w:r>
          </w:p>
        </w:tc>
        <w:tc>
          <w:tcPr>
            <w:tcW w:w="2397" w:type="dxa"/>
            <w:shd w:val="clear" w:color="auto" w:fill="auto"/>
            <w:vAlign w:val="center"/>
          </w:tcPr>
          <w:p>
            <w:pPr>
              <w:pStyle w:val="37"/>
              <w:jc w:val="both"/>
            </w:pPr>
            <w:r>
              <w:t>考察20</w:t>
            </w:r>
            <w:r>
              <w:rPr>
                <w:rFonts w:hint="eastAsia"/>
              </w:rPr>
              <w:t>20</w:t>
            </w:r>
            <w:r>
              <w:t>年部门依据整体绩效目标所设定的绩效指标是否清晰、细化、可衡量，用以反映和考核部门整体绩效目标的明细化情况。</w:t>
            </w:r>
          </w:p>
        </w:tc>
        <w:tc>
          <w:tcPr>
            <w:tcW w:w="2300" w:type="dxa"/>
            <w:shd w:val="clear" w:color="auto" w:fill="auto"/>
            <w:vAlign w:val="center"/>
          </w:tcPr>
          <w:p>
            <w:pPr>
              <w:pStyle w:val="37"/>
              <w:jc w:val="both"/>
            </w:pPr>
            <w:r>
              <w:rPr>
                <w:rFonts w:hint="eastAsia"/>
              </w:rPr>
              <w:t>①</w:t>
            </w:r>
            <w:r>
              <w:t>部门整体绩效目标是否细化分解为具体工作任务；</w:t>
            </w:r>
            <w:r>
              <w:rPr>
                <w:rFonts w:hint="eastAsia"/>
              </w:rPr>
              <w:t>②</w:t>
            </w:r>
            <w:r>
              <w:t>具体工作任务指标是否通过清晰、可量化的指标值予以体现。以上2项各占1/2权重分，符合得对应权重分，否则不得分。</w:t>
            </w:r>
          </w:p>
        </w:tc>
        <w:tc>
          <w:tcPr>
            <w:tcW w:w="3920" w:type="dxa"/>
            <w:shd w:val="clear" w:color="auto" w:fill="auto"/>
            <w:vAlign w:val="center"/>
          </w:tcPr>
          <w:p>
            <w:pPr>
              <w:pStyle w:val="37"/>
              <w:jc w:val="both"/>
            </w:pPr>
            <w:r>
              <w:t>根据《绩效目标申报表》相关内容，</w:t>
            </w:r>
            <w:r>
              <w:rPr>
                <w:rFonts w:hint="eastAsia"/>
              </w:rPr>
              <w:t>①</w:t>
            </w:r>
            <w:r>
              <w:t>部门整体绩效目标细化分解为具体工作任务；</w:t>
            </w:r>
            <w:r>
              <w:rPr>
                <w:rFonts w:hint="eastAsia"/>
              </w:rPr>
              <w:t>根据评分标准，该项指标得满分。</w:t>
            </w:r>
          </w:p>
        </w:tc>
        <w:tc>
          <w:tcPr>
            <w:tcW w:w="703" w:type="dxa"/>
            <w:shd w:val="clear" w:color="auto" w:fill="auto"/>
            <w:vAlign w:val="center"/>
          </w:tcPr>
          <w:p>
            <w:pPr>
              <w:pStyle w:val="37"/>
            </w:pPr>
            <w:r>
              <w:rPr>
                <w:rFonts w:hint="eastAsia"/>
              </w:rPr>
              <w:t>1</w:t>
            </w:r>
          </w:p>
        </w:tc>
        <w:tc>
          <w:tcPr>
            <w:tcW w:w="985" w:type="dxa"/>
            <w:shd w:val="clear" w:color="auto" w:fill="auto"/>
            <w:vAlign w:val="center"/>
          </w:tcPr>
          <w:p>
            <w:pPr>
              <w:pStyle w:val="37"/>
            </w:pPr>
            <w:r>
              <w:rPr>
                <w:rFonts w:hint="eastAsia"/>
              </w:rPr>
              <w:t>100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r>
              <w:t>B</w:t>
            </w:r>
            <w:r>
              <w:rPr>
                <w:rFonts w:hint="eastAsia"/>
              </w:rPr>
              <w:t>部门管理</w:t>
            </w:r>
          </w:p>
        </w:tc>
        <w:tc>
          <w:tcPr>
            <w:tcW w:w="1108" w:type="dxa"/>
            <w:shd w:val="clear" w:color="auto" w:fill="auto"/>
            <w:vAlign w:val="center"/>
          </w:tcPr>
          <w:p>
            <w:pPr>
              <w:pStyle w:val="37"/>
            </w:pP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27</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B1资金投入</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8</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B11预算执行率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4</w:t>
            </w:r>
          </w:p>
        </w:tc>
        <w:tc>
          <w:tcPr>
            <w:tcW w:w="2397" w:type="dxa"/>
            <w:shd w:val="clear" w:color="auto" w:fill="auto"/>
            <w:vAlign w:val="center"/>
          </w:tcPr>
          <w:p>
            <w:pPr>
              <w:pStyle w:val="37"/>
              <w:jc w:val="both"/>
            </w:pPr>
            <w:r>
              <w:t>考察20</w:t>
            </w:r>
            <w:r>
              <w:rPr>
                <w:rFonts w:hint="eastAsia"/>
              </w:rPr>
              <w:t>20</w:t>
            </w:r>
            <w:r>
              <w:t>年部门预算（含基本支出和项目支出）的执行情况。</w:t>
            </w:r>
          </w:p>
        </w:tc>
        <w:tc>
          <w:tcPr>
            <w:tcW w:w="2300" w:type="dxa"/>
            <w:shd w:val="clear" w:color="auto" w:fill="auto"/>
            <w:vAlign w:val="center"/>
          </w:tcPr>
          <w:p>
            <w:pPr>
              <w:pStyle w:val="37"/>
              <w:jc w:val="both"/>
            </w:pPr>
            <w:r>
              <w:t>预算执行率=（实际支出额/预算资金总额）×100%。达到目标值得100%权重分，否则每降低1%扣5%权重分，扣完为止。</w:t>
            </w:r>
          </w:p>
        </w:tc>
        <w:tc>
          <w:tcPr>
            <w:tcW w:w="3920" w:type="dxa"/>
            <w:shd w:val="clear" w:color="auto" w:fill="auto"/>
            <w:vAlign w:val="center"/>
          </w:tcPr>
          <w:p>
            <w:pPr>
              <w:pStyle w:val="37"/>
              <w:jc w:val="both"/>
            </w:pPr>
            <w:r>
              <w:t>20</w:t>
            </w:r>
            <w:r>
              <w:rPr>
                <w:rFonts w:hint="eastAsia"/>
              </w:rPr>
              <w:t>20</w:t>
            </w:r>
            <w:r>
              <w:t>年</w:t>
            </w:r>
            <w:r>
              <w:rPr>
                <w:rFonts w:hint="eastAsia"/>
              </w:rPr>
              <w:t>甘肃省人大常委会办公厅</w:t>
            </w:r>
            <w:r>
              <w:t>整体实际支出为7285.45万元（含基本支出和项目支出），2020年年末结余资金1553.38万元，20</w:t>
            </w:r>
            <w:r>
              <w:rPr>
                <w:rFonts w:hint="eastAsia"/>
              </w:rPr>
              <w:t>20</w:t>
            </w:r>
            <w:r>
              <w:t>年部门整体支出预算执行率为87.10%，资金结余率为12.90%。根据指标评分标准，该指标</w:t>
            </w:r>
            <w:r>
              <w:rPr>
                <w:rFonts w:hint="eastAsia"/>
              </w:rPr>
              <w:t>得</w:t>
            </w:r>
            <w:r>
              <w:t>1.42分。</w:t>
            </w:r>
          </w:p>
        </w:tc>
        <w:tc>
          <w:tcPr>
            <w:tcW w:w="703" w:type="dxa"/>
            <w:shd w:val="clear" w:color="auto" w:fill="auto"/>
            <w:vAlign w:val="center"/>
          </w:tcPr>
          <w:p>
            <w:pPr>
              <w:pStyle w:val="37"/>
            </w:pPr>
            <w:r>
              <w:t>1.42</w:t>
            </w:r>
          </w:p>
        </w:tc>
        <w:tc>
          <w:tcPr>
            <w:tcW w:w="985" w:type="dxa"/>
            <w:shd w:val="clear" w:color="auto" w:fill="auto"/>
            <w:vAlign w:val="center"/>
          </w:tcPr>
          <w:p>
            <w:pPr>
              <w:pStyle w:val="37"/>
            </w:pPr>
            <w: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B12结转结余</w:t>
            </w:r>
            <w:r>
              <w:rPr>
                <w:rFonts w:hint="eastAsia"/>
              </w:rPr>
              <w:t>变动率</w:t>
            </w:r>
          </w:p>
        </w:tc>
        <w:tc>
          <w:tcPr>
            <w:tcW w:w="940" w:type="dxa"/>
            <w:shd w:val="clear" w:color="auto" w:fill="auto"/>
            <w:vAlign w:val="center"/>
          </w:tcPr>
          <w:p>
            <w:pPr>
              <w:pStyle w:val="37"/>
            </w:pPr>
            <w:r>
              <w:t>＜0</w:t>
            </w:r>
          </w:p>
        </w:tc>
        <w:tc>
          <w:tcPr>
            <w:tcW w:w="760" w:type="dxa"/>
            <w:shd w:val="clear" w:color="auto" w:fill="auto"/>
            <w:vAlign w:val="center"/>
          </w:tcPr>
          <w:p>
            <w:pPr>
              <w:pStyle w:val="37"/>
            </w:pPr>
            <w:r>
              <w:t>4</w:t>
            </w:r>
          </w:p>
        </w:tc>
        <w:tc>
          <w:tcPr>
            <w:tcW w:w="2397" w:type="dxa"/>
            <w:shd w:val="clear" w:color="auto" w:fill="auto"/>
            <w:vAlign w:val="center"/>
          </w:tcPr>
          <w:p>
            <w:pPr>
              <w:pStyle w:val="37"/>
              <w:jc w:val="both"/>
            </w:pPr>
            <w:r>
              <w:t>考察部门预算结转结余资金的控制情况，用以评价部门结转结余资金的实际控制程度。</w:t>
            </w:r>
          </w:p>
        </w:tc>
        <w:tc>
          <w:tcPr>
            <w:tcW w:w="2300" w:type="dxa"/>
            <w:shd w:val="clear" w:color="auto" w:fill="auto"/>
            <w:vAlign w:val="center"/>
          </w:tcPr>
          <w:p>
            <w:pPr>
              <w:pStyle w:val="37"/>
              <w:jc w:val="both"/>
            </w:pPr>
            <w:r>
              <w:t>结转结余资金</w:t>
            </w:r>
            <w:r>
              <w:rPr>
                <w:rFonts w:hint="eastAsia"/>
              </w:rPr>
              <w:t>变动率</w:t>
            </w:r>
            <w:r>
              <w:t>=（20</w:t>
            </w:r>
            <w:r>
              <w:rPr>
                <w:rFonts w:hint="eastAsia"/>
              </w:rPr>
              <w:t>20</w:t>
            </w:r>
            <w:r>
              <w:t>年结转结余资金-20</w:t>
            </w:r>
            <w:r>
              <w:rPr>
                <w:rFonts w:hint="eastAsia"/>
              </w:rPr>
              <w:t>19</w:t>
            </w:r>
            <w:r>
              <w:t>年结转结余资金）/20</w:t>
            </w:r>
            <w:r>
              <w:rPr>
                <w:rFonts w:hint="eastAsia"/>
              </w:rPr>
              <w:t>19</w:t>
            </w:r>
            <w:r>
              <w:t>年结转结余资金*100%。达到标杆值得满分，否则每增加1%扣1%权重分，扣完为止。</w:t>
            </w:r>
          </w:p>
        </w:tc>
        <w:tc>
          <w:tcPr>
            <w:tcW w:w="3920" w:type="dxa"/>
            <w:shd w:val="clear" w:color="auto" w:fill="auto"/>
            <w:vAlign w:val="center"/>
          </w:tcPr>
          <w:p>
            <w:pPr>
              <w:pStyle w:val="37"/>
              <w:jc w:val="both"/>
            </w:pPr>
            <w:r>
              <w:t>根据20</w:t>
            </w:r>
            <w:r>
              <w:rPr>
                <w:rFonts w:hint="eastAsia"/>
              </w:rPr>
              <w:t>20</w:t>
            </w:r>
            <w:r>
              <w:t>年</w:t>
            </w:r>
            <w:r>
              <w:rPr>
                <w:rFonts w:hint="eastAsia"/>
              </w:rPr>
              <w:t>甘肃省人民代表大会常务委员会</w:t>
            </w:r>
            <w:r>
              <w:t>决算表，20</w:t>
            </w:r>
            <w:r>
              <w:rPr>
                <w:rFonts w:hint="eastAsia"/>
              </w:rPr>
              <w:t>20</w:t>
            </w:r>
            <w:r>
              <w:t>年年初基本支出</w:t>
            </w:r>
            <w:r>
              <w:rPr>
                <w:rFonts w:hint="eastAsia"/>
              </w:rPr>
              <w:t>及</w:t>
            </w:r>
            <w:r>
              <w:t>项目支出</w:t>
            </w:r>
            <w:r>
              <w:rPr>
                <w:rFonts w:hint="eastAsia"/>
              </w:rPr>
              <w:t>结转资金共计</w:t>
            </w:r>
            <w:r>
              <w:t>1553.38</w:t>
            </w:r>
            <w:r>
              <w:rPr>
                <w:rFonts w:hint="eastAsia"/>
              </w:rPr>
              <w:t>万元</w:t>
            </w:r>
            <w:r>
              <w:t>，20</w:t>
            </w:r>
            <w:r>
              <w:rPr>
                <w:rFonts w:hint="eastAsia"/>
              </w:rPr>
              <w:t>19</w:t>
            </w:r>
            <w:r>
              <w:t>年年末基本支出</w:t>
            </w:r>
            <w:r>
              <w:rPr>
                <w:rFonts w:hint="eastAsia"/>
              </w:rPr>
              <w:t>和项目支出结转资金共计</w:t>
            </w:r>
            <w:r>
              <w:t>1648.63万元，结转结余资金控制率为5.78%，根据指标评分规则，</w:t>
            </w:r>
            <w:r>
              <w:rPr>
                <w:rFonts w:hint="eastAsia"/>
              </w:rPr>
              <w:t>扣除</w:t>
            </w:r>
            <w:r>
              <w:t>5.78</w:t>
            </w:r>
            <w:r>
              <w:rPr>
                <w:rFonts w:hint="eastAsia"/>
              </w:rPr>
              <w:t>%的权重，</w:t>
            </w:r>
            <w:r>
              <w:t>该指标得3.77分。</w:t>
            </w:r>
          </w:p>
        </w:tc>
        <w:tc>
          <w:tcPr>
            <w:tcW w:w="703" w:type="dxa"/>
            <w:shd w:val="clear" w:color="auto" w:fill="auto"/>
            <w:vAlign w:val="center"/>
          </w:tcPr>
          <w:p>
            <w:pPr>
              <w:pStyle w:val="37"/>
            </w:pPr>
            <w:r>
              <w:t>3.77</w:t>
            </w:r>
          </w:p>
        </w:tc>
        <w:tc>
          <w:tcPr>
            <w:tcW w:w="985" w:type="dxa"/>
            <w:shd w:val="clear" w:color="auto" w:fill="auto"/>
            <w:vAlign w:val="center"/>
          </w:tcPr>
          <w:p>
            <w:pPr>
              <w:pStyle w:val="37"/>
            </w:pPr>
            <w:r>
              <w:t>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B2财务管理</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7</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B21财务管理制度健全性</w:t>
            </w:r>
          </w:p>
        </w:tc>
        <w:tc>
          <w:tcPr>
            <w:tcW w:w="940" w:type="dxa"/>
            <w:shd w:val="clear" w:color="auto" w:fill="auto"/>
            <w:vAlign w:val="center"/>
          </w:tcPr>
          <w:p>
            <w:pPr>
              <w:pStyle w:val="37"/>
            </w:pPr>
            <w:r>
              <w:t>健全</w:t>
            </w: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考察部门为加强预算管理、规范财务行为而制定的管理制度是否健全完整，是否合法合规，是否执行到位。</w:t>
            </w:r>
          </w:p>
        </w:tc>
        <w:tc>
          <w:tcPr>
            <w:tcW w:w="2300" w:type="dxa"/>
            <w:shd w:val="clear" w:color="auto" w:fill="auto"/>
            <w:vAlign w:val="center"/>
          </w:tcPr>
          <w:p>
            <w:pPr>
              <w:pStyle w:val="37"/>
              <w:jc w:val="both"/>
            </w:pPr>
            <w:r>
              <w:rPr>
                <w:rFonts w:hint="eastAsia"/>
              </w:rPr>
              <w:t>①</w:t>
            </w:r>
            <w:r>
              <w:t>是否有适用的部门财务管理制度；</w:t>
            </w:r>
            <w:r>
              <w:rPr>
                <w:rFonts w:hint="eastAsia"/>
              </w:rPr>
              <w:t>②</w:t>
            </w:r>
            <w:r>
              <w:t>是否针对部门专项建立专项资金管理办法；</w:t>
            </w:r>
            <w:r>
              <w:rPr>
                <w:rFonts w:hint="eastAsia"/>
              </w:rPr>
              <w:t>③</w:t>
            </w:r>
            <w:r>
              <w:t>资金管理制度符合相关法律法规要求，内容覆盖预算管理、收入管理、支出管理、往来资金结算管理、现金及银行存款管理、财务监督管理等方面。以上三项各占1/3权重分，符合得对应权重分，否则不得分。</w:t>
            </w:r>
          </w:p>
        </w:tc>
        <w:tc>
          <w:tcPr>
            <w:tcW w:w="3920" w:type="dxa"/>
            <w:shd w:val="clear" w:color="auto" w:fill="auto"/>
            <w:vAlign w:val="center"/>
          </w:tcPr>
          <w:p>
            <w:pPr>
              <w:pStyle w:val="37"/>
              <w:jc w:val="both"/>
            </w:pPr>
            <w:r>
              <w:rPr>
                <w:rFonts w:hint="eastAsia"/>
              </w:rPr>
              <w:t>①</w:t>
            </w:r>
            <w:r>
              <w:t>有适用的部门财务管理制度；</w:t>
            </w:r>
            <w:r>
              <w:rPr>
                <w:rFonts w:hint="eastAsia"/>
              </w:rPr>
              <w:t>②甘肃省人大常委会</w:t>
            </w:r>
            <w:r>
              <w:t>主要按照上级有关财务制度执行资金管理。</w:t>
            </w:r>
            <w:r>
              <w:rPr>
                <w:rFonts w:hint="eastAsia"/>
              </w:rPr>
              <w:t>包括《甘肃省人大常委会机关财务管理办法》、《甘肃省人大常委会机关采购管理办法》。③</w:t>
            </w:r>
            <w:r>
              <w:t>资金管理制度符合相关法律法规要求，内容全面。根据指标评分规则，该指标得满分。</w:t>
            </w:r>
          </w:p>
        </w:tc>
        <w:tc>
          <w:tcPr>
            <w:tcW w:w="703" w:type="dxa"/>
            <w:shd w:val="clear" w:color="auto" w:fill="auto"/>
            <w:vAlign w:val="center"/>
          </w:tcPr>
          <w:p>
            <w:pPr>
              <w:pStyle w:val="37"/>
            </w:pPr>
            <w:r>
              <w:rPr>
                <w:rFonts w:hint="eastAsia"/>
              </w:rPr>
              <w:t>2</w:t>
            </w:r>
          </w:p>
        </w:tc>
        <w:tc>
          <w:tcPr>
            <w:tcW w:w="985" w:type="dxa"/>
            <w:shd w:val="clear" w:color="auto" w:fill="auto"/>
            <w:vAlign w:val="center"/>
          </w:tcPr>
          <w:p>
            <w:pPr>
              <w:pStyle w:val="37"/>
            </w:pPr>
            <w:r>
              <w:rPr>
                <w:rFonts w:hint="eastAsia"/>
              </w:rPr>
              <w:t>100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6"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B22资金使用规范性</w:t>
            </w:r>
          </w:p>
        </w:tc>
        <w:tc>
          <w:tcPr>
            <w:tcW w:w="940" w:type="dxa"/>
            <w:shd w:val="clear" w:color="auto" w:fill="auto"/>
            <w:vAlign w:val="center"/>
          </w:tcPr>
          <w:p>
            <w:pPr>
              <w:pStyle w:val="37"/>
            </w:pPr>
            <w:r>
              <w:t>规范</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考察部门预算资金使用是否严格执行预算批复和相关的预算财务管理制度的规定，用以评价该部门预算资金的规范运行情况。</w:t>
            </w:r>
          </w:p>
        </w:tc>
        <w:tc>
          <w:tcPr>
            <w:tcW w:w="2300" w:type="dxa"/>
            <w:shd w:val="clear" w:color="auto" w:fill="auto"/>
            <w:vAlign w:val="center"/>
          </w:tcPr>
          <w:p>
            <w:pPr>
              <w:pStyle w:val="37"/>
              <w:jc w:val="both"/>
            </w:pPr>
            <w:r>
              <w:t>部门在预算资金使用过程中：</w:t>
            </w:r>
            <w:r>
              <w:rPr>
                <w:rFonts w:hint="eastAsia"/>
              </w:rPr>
              <w:t>①</w:t>
            </w:r>
            <w:r>
              <w:t>资金管理是否符合国家财经法规和财务管理制度规定以及有关专项资金管理办法的要求；</w:t>
            </w:r>
            <w:r>
              <w:rPr>
                <w:rFonts w:hint="eastAsia"/>
              </w:rPr>
              <w:t>②</w:t>
            </w:r>
            <w:r>
              <w:t>资金的拨付是否有完整的审批程序和手续；</w:t>
            </w:r>
            <w:r>
              <w:rPr>
                <w:rFonts w:hint="eastAsia"/>
              </w:rPr>
              <w:t>③</w:t>
            </w:r>
            <w:r>
              <w:t>资金支出是否符合部门预算批复的用途；</w:t>
            </w:r>
            <w:r>
              <w:rPr>
                <w:rFonts w:hint="eastAsia"/>
              </w:rPr>
              <w:t>④</w:t>
            </w:r>
            <w:r>
              <w:t>资金支出是否严格执行国库集中支付；</w:t>
            </w:r>
            <w:r>
              <w:rPr>
                <w:rFonts w:hint="eastAsia"/>
              </w:rPr>
              <w:t>⑤</w:t>
            </w:r>
            <w:r>
              <w:t>是否存在截留、挤占、挪用、虚列支出等情况。以上5项各占1/5权重分，符合得对应权重分，否则不得分，若第</w:t>
            </w:r>
            <w:r>
              <w:rPr>
                <w:rFonts w:hint="eastAsia"/>
              </w:rPr>
              <w:t>⑤</w:t>
            </w:r>
            <w:r>
              <w:t>不符合，则该指标不得分。</w:t>
            </w:r>
          </w:p>
        </w:tc>
        <w:tc>
          <w:tcPr>
            <w:tcW w:w="3920" w:type="dxa"/>
            <w:shd w:val="clear" w:color="auto" w:fill="auto"/>
            <w:vAlign w:val="center"/>
          </w:tcPr>
          <w:p>
            <w:pPr>
              <w:pStyle w:val="37"/>
              <w:jc w:val="both"/>
            </w:pPr>
            <w:r>
              <w:t>评价组根据资料核查，</w:t>
            </w:r>
            <w:r>
              <w:rPr>
                <w:rFonts w:hint="eastAsia"/>
              </w:rPr>
              <w:t>①</w:t>
            </w:r>
            <w:r>
              <w:t>资金管理符合国家财经法规和财务管理制度规定以及有关专项资金管理办法的要求；</w:t>
            </w:r>
            <w:r>
              <w:rPr>
                <w:rFonts w:hint="eastAsia"/>
              </w:rPr>
              <w:t>②</w:t>
            </w:r>
            <w:r>
              <w:t>资金的拨付有完整的审批程序和手续；</w:t>
            </w:r>
            <w:r>
              <w:rPr>
                <w:rFonts w:hint="eastAsia"/>
              </w:rPr>
              <w:t>③</w:t>
            </w:r>
            <w:r>
              <w:t>资金支出符合部门预算批复的用途；</w:t>
            </w:r>
            <w:r>
              <w:rPr>
                <w:rFonts w:hint="eastAsia"/>
              </w:rPr>
              <w:t>④</w:t>
            </w:r>
            <w:r>
              <w:t>资金支出严格执行国库集中支付；</w:t>
            </w:r>
            <w:r>
              <w:rPr>
                <w:rFonts w:hint="eastAsia"/>
              </w:rPr>
              <w:t>⑤</w:t>
            </w:r>
            <w:r>
              <w:t>不存在截留、挤占、挪用、虚列支出等情况。根据指标评分标准，该指标得满分。</w:t>
            </w:r>
          </w:p>
        </w:tc>
        <w:tc>
          <w:tcPr>
            <w:tcW w:w="703" w:type="dxa"/>
            <w:shd w:val="clear" w:color="auto" w:fill="auto"/>
            <w:vAlign w:val="center"/>
          </w:tcPr>
          <w:p>
            <w:pPr>
              <w:pStyle w:val="37"/>
            </w:pPr>
            <w: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B3采购管理</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B31政府采购规范性</w:t>
            </w:r>
          </w:p>
        </w:tc>
        <w:tc>
          <w:tcPr>
            <w:tcW w:w="940" w:type="dxa"/>
            <w:shd w:val="clear" w:color="auto" w:fill="auto"/>
            <w:vAlign w:val="center"/>
          </w:tcPr>
          <w:p>
            <w:pPr>
              <w:pStyle w:val="37"/>
            </w:pPr>
            <w:r>
              <w:t>规范</w:t>
            </w: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通过对项目中介服务费用支出的评价，判断项目服务支出是否严格执行了政府购买服务程序，用以反映和考核项目政府购买服务管理的规范性。</w:t>
            </w:r>
          </w:p>
        </w:tc>
        <w:tc>
          <w:tcPr>
            <w:tcW w:w="2300" w:type="dxa"/>
            <w:shd w:val="clear" w:color="auto" w:fill="auto"/>
            <w:vAlign w:val="center"/>
          </w:tcPr>
          <w:p>
            <w:pPr>
              <w:pStyle w:val="37"/>
              <w:jc w:val="both"/>
            </w:pPr>
            <w:r>
              <w:rPr>
                <w:rFonts w:hint="eastAsia"/>
              </w:rPr>
              <w:t>①</w:t>
            </w:r>
            <w:r>
              <w:t>是否严格按照政府集中采购目录及政府采购限额标准执行；</w:t>
            </w:r>
            <w:r>
              <w:rPr>
                <w:rFonts w:hint="eastAsia"/>
              </w:rPr>
              <w:t>②</w:t>
            </w:r>
            <w:r>
              <w:t>是否严格按照主管部门及当地政策要求的采购程序执行；</w:t>
            </w:r>
            <w:r>
              <w:rPr>
                <w:rFonts w:hint="eastAsia"/>
              </w:rPr>
              <w:t>③</w:t>
            </w:r>
            <w:r>
              <w:t>是否按规定签订合同，且明确双方责任。以上三项各占1/3权重分，符合得对应权重分，否则不得分。</w:t>
            </w:r>
          </w:p>
        </w:tc>
        <w:tc>
          <w:tcPr>
            <w:tcW w:w="3920" w:type="dxa"/>
            <w:shd w:val="clear" w:color="auto" w:fill="auto"/>
            <w:vAlign w:val="center"/>
          </w:tcPr>
          <w:p>
            <w:pPr>
              <w:pStyle w:val="37"/>
              <w:jc w:val="both"/>
            </w:pPr>
            <w:r>
              <w:rPr>
                <w:rFonts w:hint="eastAsia"/>
              </w:rPr>
              <w:t>①甘肃省人民代表大会常务委员会办公厅</w:t>
            </w:r>
            <w:r>
              <w:t>严格按照政府集中采购目录及政府采购限额标准执行；</w:t>
            </w:r>
            <w:r>
              <w:rPr>
                <w:rFonts w:hint="eastAsia"/>
              </w:rPr>
              <w:t>②</w:t>
            </w:r>
            <w:r>
              <w:t>严格按照主管部门及当地政策要求的采购程序执行；</w:t>
            </w:r>
            <w:r>
              <w:rPr>
                <w:rFonts w:hint="eastAsia"/>
              </w:rPr>
              <w:t>③</w:t>
            </w:r>
            <w:r>
              <w:t>按规定签订合同，且明确双方责任。根据指标评分标准，该指标得满分。</w:t>
            </w:r>
          </w:p>
        </w:tc>
        <w:tc>
          <w:tcPr>
            <w:tcW w:w="703" w:type="dxa"/>
            <w:shd w:val="clear" w:color="auto" w:fill="auto"/>
            <w:vAlign w:val="center"/>
          </w:tcPr>
          <w:p>
            <w:pPr>
              <w:pStyle w:val="37"/>
            </w:pPr>
            <w:r>
              <w:t>3.00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B4资产管理</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6"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B41资产管理制度健全性</w:t>
            </w:r>
          </w:p>
        </w:tc>
        <w:tc>
          <w:tcPr>
            <w:tcW w:w="940" w:type="dxa"/>
            <w:shd w:val="clear" w:color="auto" w:fill="auto"/>
            <w:vAlign w:val="center"/>
          </w:tcPr>
          <w:p>
            <w:pPr>
              <w:pStyle w:val="37"/>
            </w:pPr>
            <w:r>
              <w:t>健全</w:t>
            </w: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考察部门为加强资产管理、规范资产管理行为而制定的管理制度是否健全完整，用以反映和考核部门资产管理制度对完成主要职责或促进社会发展的保障情况。</w:t>
            </w:r>
          </w:p>
        </w:tc>
        <w:tc>
          <w:tcPr>
            <w:tcW w:w="2300" w:type="dxa"/>
            <w:shd w:val="clear" w:color="auto" w:fill="auto"/>
            <w:vAlign w:val="center"/>
          </w:tcPr>
          <w:p>
            <w:pPr>
              <w:pStyle w:val="37"/>
              <w:jc w:val="both"/>
            </w:pPr>
            <w:r>
              <w:rPr>
                <w:rFonts w:hint="eastAsia"/>
              </w:rPr>
              <w:t>①</w:t>
            </w:r>
            <w:r>
              <w:t>是否有适用的资产管理制度；</w:t>
            </w:r>
            <w:r>
              <w:rPr>
                <w:rFonts w:hint="eastAsia"/>
              </w:rPr>
              <w:t>②</w:t>
            </w:r>
            <w:r>
              <w:t>相关资产管理制度是否合法、合规、完整；</w:t>
            </w:r>
            <w:r>
              <w:rPr>
                <w:rFonts w:hint="eastAsia"/>
              </w:rPr>
              <w:t>③</w:t>
            </w:r>
            <w:r>
              <w:t>资产管理制度中对资产配置、资产使用、资产处置、资产清查等方面进行全面规定。以上三项各占1/3权重分，符合得对应权重分，否则不得分。</w:t>
            </w:r>
          </w:p>
        </w:tc>
        <w:tc>
          <w:tcPr>
            <w:tcW w:w="3920" w:type="dxa"/>
            <w:shd w:val="clear" w:color="auto" w:fill="auto"/>
            <w:vAlign w:val="center"/>
          </w:tcPr>
          <w:p>
            <w:pPr>
              <w:pStyle w:val="37"/>
              <w:jc w:val="both"/>
            </w:pPr>
            <w:r>
              <w:rPr>
                <w:rFonts w:hint="eastAsia"/>
              </w:rPr>
              <w:t>甘肃省人民代表大会常务委员会办公厅</w:t>
            </w:r>
            <w:r>
              <w:t>每年年末对部门资产情况进行盘点汇总，并形成当年度行政事业单位国有资产分析报告，</w:t>
            </w:r>
            <w:r>
              <w:rPr>
                <w:rFonts w:hint="eastAsia"/>
              </w:rPr>
              <w:t>同时制定了</w:t>
            </w:r>
            <w:r>
              <w:t>明确的固定资产管理办法，对固定资产的维护、报废等作出相关归口责任要求。根据指标评分标准，该指标</w:t>
            </w:r>
            <w:r>
              <w:rPr>
                <w:rFonts w:hint="eastAsia"/>
              </w:rPr>
              <w:t>的满分。</w:t>
            </w:r>
          </w:p>
        </w:tc>
        <w:tc>
          <w:tcPr>
            <w:tcW w:w="703" w:type="dxa"/>
            <w:shd w:val="clear" w:color="auto" w:fill="auto"/>
            <w:vAlign w:val="center"/>
          </w:tcPr>
          <w:p>
            <w:pPr>
              <w:pStyle w:val="37"/>
            </w:pPr>
            <w:r>
              <w:rPr>
                <w:rFonts w:hint="eastAsia"/>
              </w:rPr>
              <w:t>3</w:t>
            </w:r>
          </w:p>
        </w:tc>
        <w:tc>
          <w:tcPr>
            <w:tcW w:w="985" w:type="dxa"/>
            <w:shd w:val="clear" w:color="auto" w:fill="auto"/>
            <w:vAlign w:val="center"/>
          </w:tcPr>
          <w:p>
            <w:pPr>
              <w:pStyle w:val="37"/>
            </w:pPr>
            <w:r>
              <w:rPr>
                <w:rFonts w:hint="eastAsia"/>
              </w:rPr>
              <w:t>100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B5人员管理</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B51人员管理制度健全性</w:t>
            </w:r>
          </w:p>
        </w:tc>
        <w:tc>
          <w:tcPr>
            <w:tcW w:w="940" w:type="dxa"/>
            <w:shd w:val="clear" w:color="auto" w:fill="auto"/>
            <w:vAlign w:val="center"/>
          </w:tcPr>
          <w:p>
            <w:pPr>
              <w:pStyle w:val="37"/>
            </w:pPr>
            <w:r>
              <w:t>健全</w:t>
            </w:r>
          </w:p>
        </w:tc>
        <w:tc>
          <w:tcPr>
            <w:tcW w:w="760" w:type="dxa"/>
            <w:shd w:val="clear" w:color="auto" w:fill="auto"/>
            <w:vAlign w:val="center"/>
          </w:tcPr>
          <w:p>
            <w:pPr>
              <w:pStyle w:val="37"/>
            </w:pPr>
            <w:r>
              <w:t>2</w:t>
            </w:r>
          </w:p>
        </w:tc>
        <w:tc>
          <w:tcPr>
            <w:tcW w:w="2397" w:type="dxa"/>
            <w:shd w:val="clear" w:color="auto" w:fill="auto"/>
            <w:vAlign w:val="center"/>
          </w:tcPr>
          <w:p>
            <w:pPr>
              <w:pStyle w:val="37"/>
              <w:jc w:val="both"/>
            </w:pPr>
            <w:r>
              <w:t>考察部门为加强人员管理而制定的管理制度是否健全完整。</w:t>
            </w:r>
          </w:p>
        </w:tc>
        <w:tc>
          <w:tcPr>
            <w:tcW w:w="2300" w:type="dxa"/>
            <w:shd w:val="clear" w:color="auto" w:fill="auto"/>
            <w:vAlign w:val="center"/>
          </w:tcPr>
          <w:p>
            <w:pPr>
              <w:pStyle w:val="37"/>
              <w:jc w:val="both"/>
            </w:pPr>
            <w:bookmarkStart w:id="76" w:name="RANGE!G28"/>
            <w:r>
              <w:rPr>
                <w:rFonts w:hint="eastAsia"/>
              </w:rPr>
              <w:t>①</w:t>
            </w:r>
            <w:r>
              <w:t>是否建立人事管理制度；</w:t>
            </w:r>
            <w:r>
              <w:rPr>
                <w:rFonts w:hint="eastAsia"/>
              </w:rPr>
              <w:t>②</w:t>
            </w:r>
            <w:r>
              <w:t>是否制定绩效目标考核及考核结果应用办法。以上2项各占1/2权重分，符合得对应权重分，否则不得分。</w:t>
            </w:r>
            <w:bookmarkEnd w:id="76"/>
          </w:p>
        </w:tc>
        <w:tc>
          <w:tcPr>
            <w:tcW w:w="3920" w:type="dxa"/>
            <w:shd w:val="clear" w:color="auto" w:fill="auto"/>
            <w:vAlign w:val="center"/>
          </w:tcPr>
          <w:p>
            <w:pPr>
              <w:pStyle w:val="37"/>
              <w:jc w:val="both"/>
              <w:rPr>
                <w:highlight w:val="yellow"/>
              </w:rPr>
            </w:pPr>
            <w:r>
              <w:rPr>
                <w:rFonts w:hint="eastAsia"/>
              </w:rPr>
              <w:t>甘肃省人民代表大会常务委员会办公厅</w:t>
            </w:r>
            <w:r>
              <w:t>参照《公务员法》进行管理，通过强化机关内部管理，改进工作作风，从而提高办事效率，并根据</w:t>
            </w:r>
            <w:r>
              <w:rPr>
                <w:rFonts w:hint="eastAsia"/>
              </w:rPr>
              <w:t>（中共甘肃省委办公厅甘肃省人民政府办公厅关于印发《甘肃省省级党政机关公务接待管理办法》的通知）</w:t>
            </w:r>
            <w:r>
              <w:t>（</w:t>
            </w:r>
            <w:r>
              <w:rPr>
                <w:rFonts w:hint="eastAsia"/>
              </w:rPr>
              <w:t xml:space="preserve">甘办发〔2014〕62号 </w:t>
            </w:r>
            <w:r>
              <w:t>）要求加强对于公务外出计划管理，科学安排和严格控制外出的时间、内容频率及人员数量，避免异地部门间无特别需要的一般性学习交流和考察，避免重复性考察等情况的发生。机关人事管理主要按照</w:t>
            </w:r>
            <w:r>
              <w:rPr>
                <w:rFonts w:hint="eastAsia"/>
              </w:rPr>
              <w:t>甘肃省人民代表大会常务委员会办公厅制定</w:t>
            </w:r>
            <w:r>
              <w:t>的相关人事管理制度执行</w:t>
            </w:r>
            <w:r>
              <w:rPr>
                <w:rFonts w:hint="eastAsia"/>
              </w:rPr>
              <w:t>。</w:t>
            </w:r>
            <w:r>
              <w:t>根据指标评分标准，该指标得满分。</w:t>
            </w:r>
          </w:p>
        </w:tc>
        <w:tc>
          <w:tcPr>
            <w:tcW w:w="703" w:type="dxa"/>
            <w:shd w:val="clear" w:color="auto" w:fill="auto"/>
            <w:vAlign w:val="center"/>
          </w:tcPr>
          <w:p>
            <w:pPr>
              <w:pStyle w:val="37"/>
            </w:pPr>
            <w:r>
              <w:t>2.00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B52人员在编率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1</w:t>
            </w:r>
          </w:p>
        </w:tc>
        <w:tc>
          <w:tcPr>
            <w:tcW w:w="2397" w:type="dxa"/>
            <w:shd w:val="clear" w:color="auto" w:fill="auto"/>
            <w:vAlign w:val="center"/>
          </w:tcPr>
          <w:p>
            <w:pPr>
              <w:pStyle w:val="37"/>
              <w:jc w:val="both"/>
            </w:pPr>
            <w:r>
              <w:t>考察部门20</w:t>
            </w:r>
            <w:r>
              <w:rPr>
                <w:rFonts w:hint="eastAsia"/>
              </w:rPr>
              <w:t>20</w:t>
            </w:r>
            <w:r>
              <w:t>年实际在编人员数与编制数的比率，用以评价部门对人员管理的控制程度。</w:t>
            </w:r>
          </w:p>
        </w:tc>
        <w:tc>
          <w:tcPr>
            <w:tcW w:w="2300" w:type="dxa"/>
            <w:shd w:val="clear" w:color="auto" w:fill="auto"/>
            <w:vAlign w:val="center"/>
          </w:tcPr>
          <w:p>
            <w:pPr>
              <w:pStyle w:val="37"/>
              <w:jc w:val="both"/>
            </w:pPr>
            <w:r>
              <w:t>人员在编率=在编人员数/编制数*100%。未超过标杆值得满分，否则每增加1%扣1%权重分，扣完为止。</w:t>
            </w:r>
          </w:p>
        </w:tc>
        <w:tc>
          <w:tcPr>
            <w:tcW w:w="3920" w:type="dxa"/>
            <w:shd w:val="clear" w:color="auto" w:fill="auto"/>
            <w:vAlign w:val="center"/>
          </w:tcPr>
          <w:p>
            <w:pPr>
              <w:pStyle w:val="37"/>
              <w:jc w:val="both"/>
            </w:pPr>
            <w:r>
              <w:rPr>
                <w:rFonts w:hint="eastAsia"/>
              </w:rPr>
              <w:t>甘肃省人大常委会机构编制人数</w:t>
            </w:r>
            <w:r>
              <w:t>346人。截止2020年12月31日，实有在职人员279人</w:t>
            </w:r>
            <w:r>
              <w:rPr>
                <w:rFonts w:hint="eastAsia"/>
              </w:rPr>
              <w:t>，</w:t>
            </w:r>
            <w:r>
              <w:t>在编率=</w:t>
            </w:r>
            <w:r>
              <w:rPr>
                <w:rFonts w:hint="eastAsia"/>
              </w:rPr>
              <w:t>80.63</w:t>
            </w:r>
            <w:r>
              <w:t>%，根据指标评分标准，该指标得满分。</w:t>
            </w:r>
          </w:p>
        </w:tc>
        <w:tc>
          <w:tcPr>
            <w:tcW w:w="703" w:type="dxa"/>
            <w:shd w:val="clear" w:color="auto" w:fill="auto"/>
            <w:vAlign w:val="center"/>
          </w:tcPr>
          <w:p>
            <w:pPr>
              <w:pStyle w:val="37"/>
            </w:pPr>
            <w:r>
              <w:t>1.00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B6重点工作管理</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B61重点工作管理制度健全性</w:t>
            </w:r>
          </w:p>
        </w:tc>
        <w:tc>
          <w:tcPr>
            <w:tcW w:w="940" w:type="dxa"/>
            <w:shd w:val="clear" w:color="auto" w:fill="auto"/>
            <w:vAlign w:val="center"/>
          </w:tcPr>
          <w:p>
            <w:pPr>
              <w:pStyle w:val="37"/>
            </w:pPr>
            <w:r>
              <w:t>健全</w:t>
            </w:r>
          </w:p>
        </w:tc>
        <w:tc>
          <w:tcPr>
            <w:tcW w:w="760" w:type="dxa"/>
            <w:shd w:val="clear" w:color="auto" w:fill="auto"/>
            <w:vAlign w:val="center"/>
          </w:tcPr>
          <w:p>
            <w:pPr>
              <w:pStyle w:val="37"/>
            </w:pPr>
            <w:r>
              <w:t>3</w:t>
            </w:r>
          </w:p>
        </w:tc>
        <w:tc>
          <w:tcPr>
            <w:tcW w:w="2397" w:type="dxa"/>
            <w:shd w:val="clear" w:color="auto" w:fill="auto"/>
            <w:vAlign w:val="center"/>
          </w:tcPr>
          <w:p>
            <w:pPr>
              <w:pStyle w:val="37"/>
              <w:jc w:val="both"/>
            </w:pPr>
            <w:r>
              <w:t>考察部门重点工作的实施管理的制度健全情况。</w:t>
            </w:r>
          </w:p>
        </w:tc>
        <w:tc>
          <w:tcPr>
            <w:tcW w:w="2300" w:type="dxa"/>
            <w:shd w:val="clear" w:color="auto" w:fill="auto"/>
            <w:vAlign w:val="center"/>
          </w:tcPr>
          <w:p>
            <w:pPr>
              <w:pStyle w:val="37"/>
              <w:jc w:val="both"/>
            </w:pPr>
            <w:r>
              <w:t>针对重点工作是否对开展内容、开展方式、实施计划安排、实施管理、结果考核等做了明确规定。以上5项各占1/5权重分，符合得对应权重分，否则不得分。</w:t>
            </w:r>
          </w:p>
        </w:tc>
        <w:tc>
          <w:tcPr>
            <w:tcW w:w="3920" w:type="dxa"/>
            <w:shd w:val="clear" w:color="auto" w:fill="auto"/>
            <w:vAlign w:val="center"/>
          </w:tcPr>
          <w:p>
            <w:pPr>
              <w:pStyle w:val="37"/>
              <w:jc w:val="both"/>
            </w:pPr>
            <w:r>
              <w:rPr>
                <w:rFonts w:hint="eastAsia"/>
              </w:rPr>
              <w:t>甘肃省人大常委会</w:t>
            </w:r>
            <w:r>
              <w:t>印发了《</w:t>
            </w:r>
            <w:r>
              <w:rPr>
                <w:rFonts w:hint="eastAsia"/>
              </w:rPr>
              <w:t>甘肃省人大常委会</w:t>
            </w:r>
            <w:r>
              <w:t>2020年工作要点》文件中明确了开展内容、开展方式、实施计划安排、实施管理，</w:t>
            </w:r>
            <w:r>
              <w:rPr>
                <w:rFonts w:hint="eastAsia"/>
              </w:rPr>
              <w:t>并对</w:t>
            </w:r>
            <w:r>
              <w:t>结果考核作出</w:t>
            </w:r>
            <w:r>
              <w:rPr>
                <w:rFonts w:hint="eastAsia"/>
              </w:rPr>
              <w:t>了</w:t>
            </w:r>
            <w:r>
              <w:t>相关说明。根据指标评分标准，该指标</w:t>
            </w:r>
            <w:r>
              <w:rPr>
                <w:rFonts w:hint="eastAsia"/>
              </w:rPr>
              <w:t>的满分</w:t>
            </w:r>
            <w:r>
              <w:t>。</w:t>
            </w:r>
          </w:p>
        </w:tc>
        <w:tc>
          <w:tcPr>
            <w:tcW w:w="703" w:type="dxa"/>
            <w:shd w:val="clear" w:color="auto" w:fill="auto"/>
            <w:vAlign w:val="center"/>
          </w:tcPr>
          <w:p>
            <w:pPr>
              <w:pStyle w:val="37"/>
            </w:pPr>
            <w:r>
              <w:rPr>
                <w:rFonts w:hint="eastAsia"/>
              </w:rPr>
              <w:t>3</w:t>
            </w:r>
          </w:p>
        </w:tc>
        <w:tc>
          <w:tcPr>
            <w:tcW w:w="985" w:type="dxa"/>
            <w:shd w:val="clear" w:color="auto" w:fill="auto"/>
            <w:vAlign w:val="center"/>
          </w:tcPr>
          <w:p>
            <w:pPr>
              <w:pStyle w:val="37"/>
            </w:pPr>
            <w:r>
              <w:rPr>
                <w:rFonts w:hint="eastAsia"/>
              </w:rPr>
              <w:t>100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r>
              <w:t>C</w:t>
            </w:r>
            <w:r>
              <w:rPr>
                <w:rFonts w:hint="eastAsia"/>
              </w:rPr>
              <w:t>部门履职</w:t>
            </w:r>
          </w:p>
        </w:tc>
        <w:tc>
          <w:tcPr>
            <w:tcW w:w="1108" w:type="dxa"/>
            <w:shd w:val="clear" w:color="auto" w:fill="auto"/>
            <w:vAlign w:val="center"/>
          </w:tcPr>
          <w:p>
            <w:pPr>
              <w:pStyle w:val="37"/>
            </w:pP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44</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C1履职计划</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25</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C11</w:t>
            </w:r>
            <w:r>
              <w:rPr>
                <w:rFonts w:hint="eastAsia"/>
              </w:rPr>
              <w:t>组织召开各类会议及培训完成率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考察20</w:t>
            </w:r>
            <w:r>
              <w:rPr>
                <w:rFonts w:hint="eastAsia"/>
              </w:rPr>
              <w:t>20</w:t>
            </w:r>
            <w:r>
              <w:t>年</w:t>
            </w:r>
            <w:r>
              <w:rPr>
                <w:rFonts w:hint="eastAsia"/>
              </w:rPr>
              <w:t>甘肃省人大常委会组织召开各类会议及培训完成率情况</w:t>
            </w:r>
            <w:r>
              <w:t>。</w:t>
            </w:r>
          </w:p>
        </w:tc>
        <w:tc>
          <w:tcPr>
            <w:tcW w:w="2300" w:type="dxa"/>
            <w:shd w:val="clear" w:color="auto" w:fill="auto"/>
            <w:vAlign w:val="center"/>
          </w:tcPr>
          <w:p>
            <w:pPr>
              <w:pStyle w:val="37"/>
              <w:jc w:val="both"/>
            </w:pPr>
            <w:r>
              <w:t>按照</w:t>
            </w:r>
            <w:r>
              <w:rPr>
                <w:rFonts w:hint="eastAsia"/>
              </w:rPr>
              <w:t>2020年情况，统计2020年度组织召开各类会议及培训完成率情况，</w:t>
            </w:r>
            <w:r>
              <w:t>达到100%得对应权重分，否则每降低1%扣5%权重分，扣完为止。</w:t>
            </w:r>
          </w:p>
        </w:tc>
        <w:tc>
          <w:tcPr>
            <w:tcW w:w="3920" w:type="dxa"/>
            <w:shd w:val="clear" w:color="auto" w:fill="auto"/>
            <w:vAlign w:val="center"/>
          </w:tcPr>
          <w:p>
            <w:pPr>
              <w:pStyle w:val="37"/>
              <w:jc w:val="both"/>
            </w:pPr>
            <w:r>
              <w:rPr>
                <w:rFonts w:hint="eastAsia"/>
              </w:rPr>
              <w:t>截止</w:t>
            </w:r>
            <w:r>
              <w:t>2020年12月31日，甘肃省人民代表大会常务委员会办公厅组织召开省人民代表大会召开1次、论证会座谈会听证会11次、保密培训1次，会议期间后勤服务保障效率达到100%。</w:t>
            </w:r>
            <w:r>
              <w:rPr>
                <w:rFonts w:hint="eastAsia"/>
              </w:rPr>
              <w:t>根据指标评分标准，该指标得满分。</w:t>
            </w:r>
          </w:p>
        </w:tc>
        <w:tc>
          <w:tcPr>
            <w:tcW w:w="703" w:type="dxa"/>
            <w:shd w:val="clear" w:color="auto" w:fill="auto"/>
            <w:vAlign w:val="center"/>
          </w:tcPr>
          <w:p>
            <w:pPr>
              <w:pStyle w:val="37"/>
            </w:pPr>
            <w: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C12</w:t>
            </w:r>
            <w:r>
              <w:rPr>
                <w:rFonts w:hint="eastAsia"/>
                <w:lang w:bidi="ar"/>
              </w:rPr>
              <w:t>公文服务及公文处理完成率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考察20</w:t>
            </w:r>
            <w:r>
              <w:rPr>
                <w:rFonts w:hint="eastAsia"/>
              </w:rPr>
              <w:t>20年甘肃省人民代表大会常务委员会办公厅公文服务及公文处理完成率情况。</w:t>
            </w:r>
          </w:p>
        </w:tc>
        <w:tc>
          <w:tcPr>
            <w:tcW w:w="2300" w:type="dxa"/>
            <w:shd w:val="clear" w:color="auto" w:fill="auto"/>
            <w:vAlign w:val="center"/>
          </w:tcPr>
          <w:p>
            <w:pPr>
              <w:pStyle w:val="37"/>
              <w:jc w:val="both"/>
            </w:pPr>
            <w:r>
              <w:rPr>
                <w:rFonts w:hint="eastAsia"/>
              </w:rPr>
              <w:t>对公文服务及公文处理完成率情况进行统计。</w:t>
            </w:r>
            <w:r>
              <w:t>达到标杆值得100%权重分，否则每降低1%扣5%权重分，扣完为止。</w:t>
            </w:r>
          </w:p>
        </w:tc>
        <w:tc>
          <w:tcPr>
            <w:tcW w:w="3920" w:type="dxa"/>
            <w:shd w:val="clear" w:color="auto" w:fill="auto"/>
            <w:vAlign w:val="center"/>
          </w:tcPr>
          <w:p>
            <w:pPr>
              <w:pStyle w:val="37"/>
              <w:jc w:val="both"/>
            </w:pPr>
            <w:r>
              <w:t>2020年度甘肃省人民代表大会常务委员会办公厅起草各类文稿300份，编印常委公报6期期，政治任务实现率达到100%。</w:t>
            </w:r>
            <w:r>
              <w:rPr>
                <w:rFonts w:hint="eastAsia"/>
              </w:rPr>
              <w:t>根据指标评分标准，该指标得满分。</w:t>
            </w:r>
          </w:p>
        </w:tc>
        <w:tc>
          <w:tcPr>
            <w:tcW w:w="703" w:type="dxa"/>
            <w:shd w:val="clear" w:color="auto" w:fill="auto"/>
            <w:vAlign w:val="center"/>
          </w:tcPr>
          <w:p>
            <w:pPr>
              <w:pStyle w:val="37"/>
            </w:pPr>
            <w: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C13</w:t>
            </w:r>
            <w:r>
              <w:rPr>
                <w:rFonts w:hint="eastAsia"/>
              </w:rPr>
              <w:t>信访工作完成率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考察20</w:t>
            </w:r>
            <w:r>
              <w:rPr>
                <w:rFonts w:hint="eastAsia"/>
              </w:rPr>
              <w:t>20</w:t>
            </w:r>
            <w:r>
              <w:t>年</w:t>
            </w:r>
            <w:r>
              <w:rPr>
                <w:rFonts w:hint="eastAsia"/>
              </w:rPr>
              <w:t>甘肃省人民代表大会常务委员会办公厅信访工作完成率情况。</w:t>
            </w:r>
          </w:p>
        </w:tc>
        <w:tc>
          <w:tcPr>
            <w:tcW w:w="2300" w:type="dxa"/>
            <w:shd w:val="clear" w:color="auto" w:fill="auto"/>
            <w:vAlign w:val="center"/>
          </w:tcPr>
          <w:p>
            <w:pPr>
              <w:pStyle w:val="37"/>
              <w:jc w:val="both"/>
            </w:pPr>
            <w:r>
              <w:rPr>
                <w:rFonts w:hint="eastAsia"/>
              </w:rPr>
              <w:t>考察信访工作完成率情况，以2019年度的数据作为参考。</w:t>
            </w:r>
            <w:r>
              <w:t>达到标杆值得100%权重分，否则每降低1%扣5%权重分，扣完为止。</w:t>
            </w:r>
          </w:p>
        </w:tc>
        <w:tc>
          <w:tcPr>
            <w:tcW w:w="3920" w:type="dxa"/>
            <w:shd w:val="clear" w:color="auto" w:fill="auto"/>
            <w:vAlign w:val="center"/>
          </w:tcPr>
          <w:p>
            <w:pPr>
              <w:pStyle w:val="37"/>
              <w:jc w:val="both"/>
            </w:pPr>
            <w:r>
              <w:t>2020年度甘肃省人民代表大会常务委员会办公厅的信访工作接访完成率达到100%。</w:t>
            </w:r>
            <w:r>
              <w:rPr>
                <w:rFonts w:hint="eastAsia"/>
              </w:rPr>
              <w:t>根据指标评分标准，该指标得满分。</w:t>
            </w:r>
          </w:p>
        </w:tc>
        <w:tc>
          <w:tcPr>
            <w:tcW w:w="703" w:type="dxa"/>
            <w:shd w:val="clear" w:color="auto" w:fill="auto"/>
            <w:vAlign w:val="center"/>
          </w:tcPr>
          <w:p>
            <w:pPr>
              <w:pStyle w:val="37"/>
            </w:pPr>
            <w: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C14</w:t>
            </w:r>
            <w:r>
              <w:rPr>
                <w:rFonts w:hint="eastAsia"/>
                <w:lang w:bidi="ar"/>
              </w:rPr>
              <w:t>脱贫攻坚工作完成率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考察20</w:t>
            </w:r>
            <w:r>
              <w:rPr>
                <w:rFonts w:hint="eastAsia"/>
              </w:rPr>
              <w:t>20</w:t>
            </w:r>
            <w:r>
              <w:t>年</w:t>
            </w:r>
            <w:r>
              <w:rPr>
                <w:rFonts w:hint="eastAsia"/>
              </w:rPr>
              <w:t>甘肃省人民代表大会常务委员会办公厅脱贫攻坚工作的完成</w:t>
            </w:r>
            <w:r>
              <w:t>情况。</w:t>
            </w:r>
          </w:p>
        </w:tc>
        <w:tc>
          <w:tcPr>
            <w:tcW w:w="2300" w:type="dxa"/>
            <w:shd w:val="clear" w:color="auto" w:fill="auto"/>
            <w:vAlign w:val="center"/>
          </w:tcPr>
          <w:p>
            <w:pPr>
              <w:pStyle w:val="37"/>
              <w:jc w:val="both"/>
            </w:pPr>
            <w:r>
              <w:rPr>
                <w:rFonts w:hint="eastAsia"/>
              </w:rPr>
              <w:t>统计2020年度，甘肃省人民代表大会常务委员会办公厅的扶贫工作；达</w:t>
            </w:r>
            <w:r>
              <w:t>到标杆值得100%权重分，否则每降低1%扣5%权重分，扣完为止。</w:t>
            </w:r>
          </w:p>
        </w:tc>
        <w:tc>
          <w:tcPr>
            <w:tcW w:w="3920" w:type="dxa"/>
            <w:shd w:val="clear" w:color="auto" w:fill="auto"/>
            <w:vAlign w:val="center"/>
          </w:tcPr>
          <w:p>
            <w:pPr>
              <w:pStyle w:val="37"/>
              <w:jc w:val="both"/>
            </w:pPr>
            <w:r>
              <w:rPr>
                <w:rFonts w:hint="eastAsia"/>
              </w:rPr>
              <w:t>围绕脱贫攻坚兜底保障、贫困县乡镇寄宿制学校冬季供暖、全省特色农业产业发展等进行调研，持续监督检查全省财政扶贫专项资金分配使用，跟踪调研省政府及有关部门对常委会脱贫攻坚“两不愁三保障”政策落实、“两州一县”脱贫攻坚冲刺清零报告审议意见的办理情况，督促有关方面加强改进工作，解决存在问题，巩固提高脱贫攻坚成果。听取审议省政府关于脱贫攻坚工作情况的报告，就健全返贫监测与动态管理机制、推进巩固拓展脱贫攻坚成果同乡村振兴有效衔接等提出建议。</w:t>
            </w:r>
            <w:r>
              <w:t>根据指标评分标准，该指标得满分。</w:t>
            </w:r>
          </w:p>
        </w:tc>
        <w:tc>
          <w:tcPr>
            <w:tcW w:w="703" w:type="dxa"/>
            <w:shd w:val="clear" w:color="auto" w:fill="auto"/>
            <w:vAlign w:val="center"/>
          </w:tcPr>
          <w:p>
            <w:pPr>
              <w:pStyle w:val="37"/>
            </w:pPr>
            <w: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C15部门职工工资发放保障率</w:t>
            </w:r>
          </w:p>
        </w:tc>
        <w:tc>
          <w:tcPr>
            <w:tcW w:w="940" w:type="dxa"/>
            <w:shd w:val="clear" w:color="auto" w:fill="auto"/>
            <w:vAlign w:val="center"/>
          </w:tcPr>
          <w:p>
            <w:pPr>
              <w:pStyle w:val="37"/>
            </w:pPr>
            <w:r>
              <w:t>100%</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考察20</w:t>
            </w:r>
            <w:r>
              <w:rPr>
                <w:rFonts w:hint="eastAsia"/>
              </w:rPr>
              <w:t>20</w:t>
            </w:r>
            <w:r>
              <w:t>年部门职工人员工资发放情况。</w:t>
            </w:r>
          </w:p>
        </w:tc>
        <w:tc>
          <w:tcPr>
            <w:tcW w:w="2300" w:type="dxa"/>
            <w:shd w:val="clear" w:color="auto" w:fill="auto"/>
            <w:vAlign w:val="center"/>
          </w:tcPr>
          <w:p>
            <w:pPr>
              <w:pStyle w:val="37"/>
              <w:jc w:val="both"/>
            </w:pPr>
            <w:r>
              <w:t>每月按时足额发放人员工资，达到100%得对应权重分，否则每降低1%扣5%权重分，扣完为止。</w:t>
            </w:r>
          </w:p>
        </w:tc>
        <w:tc>
          <w:tcPr>
            <w:tcW w:w="3920" w:type="dxa"/>
            <w:shd w:val="clear" w:color="auto" w:fill="auto"/>
            <w:vAlign w:val="center"/>
          </w:tcPr>
          <w:p>
            <w:pPr>
              <w:pStyle w:val="37"/>
              <w:jc w:val="both"/>
            </w:pPr>
            <w:r>
              <w:t>每月均按时足额发放人员工资，完成率达100%，根据指标评分标准，该指标得满分。</w:t>
            </w:r>
          </w:p>
        </w:tc>
        <w:tc>
          <w:tcPr>
            <w:tcW w:w="703" w:type="dxa"/>
            <w:shd w:val="clear" w:color="auto" w:fill="auto"/>
            <w:vAlign w:val="center"/>
          </w:tcPr>
          <w:p>
            <w:pPr>
              <w:pStyle w:val="37"/>
            </w:pPr>
            <w: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C2履职效益</w:t>
            </w:r>
          </w:p>
        </w:tc>
        <w:tc>
          <w:tcPr>
            <w:tcW w:w="1283" w:type="dxa"/>
            <w:shd w:val="clear" w:color="auto" w:fill="auto"/>
            <w:vAlign w:val="center"/>
          </w:tcPr>
          <w:p>
            <w:pPr>
              <w:pStyle w:val="37"/>
              <w:jc w:val="both"/>
              <w:rPr>
                <w:highlight w:val="yellow"/>
              </w:rPr>
            </w:pPr>
          </w:p>
        </w:tc>
        <w:tc>
          <w:tcPr>
            <w:tcW w:w="940" w:type="dxa"/>
            <w:shd w:val="clear" w:color="auto" w:fill="auto"/>
            <w:vAlign w:val="center"/>
          </w:tcPr>
          <w:p>
            <w:pPr>
              <w:pStyle w:val="37"/>
              <w:rPr>
                <w:highlight w:val="yellow"/>
              </w:rPr>
            </w:pPr>
          </w:p>
        </w:tc>
        <w:tc>
          <w:tcPr>
            <w:tcW w:w="760" w:type="dxa"/>
            <w:shd w:val="clear" w:color="auto" w:fill="auto"/>
            <w:vAlign w:val="center"/>
          </w:tcPr>
          <w:p>
            <w:pPr>
              <w:pStyle w:val="37"/>
            </w:pPr>
            <w:r>
              <w:t>11</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C21</w:t>
            </w:r>
            <w:r>
              <w:rPr>
                <w:rFonts w:hint="eastAsia"/>
                <w:lang w:bidi="ar"/>
              </w:rPr>
              <w:t>保证宪法、法律、行政法规和上级人民代表大会及其常务委员会决议的遵守和执行</w:t>
            </w:r>
          </w:p>
        </w:tc>
        <w:tc>
          <w:tcPr>
            <w:tcW w:w="940" w:type="dxa"/>
            <w:shd w:val="clear" w:color="auto" w:fill="auto"/>
            <w:vAlign w:val="center"/>
          </w:tcPr>
          <w:p>
            <w:pPr>
              <w:pStyle w:val="37"/>
            </w:pPr>
            <w:r>
              <w:t>100%</w:t>
            </w:r>
          </w:p>
        </w:tc>
        <w:tc>
          <w:tcPr>
            <w:tcW w:w="760" w:type="dxa"/>
            <w:shd w:val="clear" w:color="auto" w:fill="auto"/>
            <w:vAlign w:val="center"/>
          </w:tcPr>
          <w:p>
            <w:pPr>
              <w:pStyle w:val="37"/>
            </w:pPr>
            <w:r>
              <w:t>6</w:t>
            </w:r>
          </w:p>
        </w:tc>
        <w:tc>
          <w:tcPr>
            <w:tcW w:w="2397" w:type="dxa"/>
            <w:shd w:val="clear" w:color="auto" w:fill="auto"/>
            <w:vAlign w:val="center"/>
          </w:tcPr>
          <w:p>
            <w:pPr>
              <w:pStyle w:val="37"/>
              <w:jc w:val="both"/>
            </w:pPr>
            <w:r>
              <w:t>考察20</w:t>
            </w:r>
            <w:r>
              <w:rPr>
                <w:rFonts w:hint="eastAsia"/>
              </w:rPr>
              <w:t>20</w:t>
            </w:r>
            <w:r>
              <w:t>年</w:t>
            </w:r>
            <w:r>
              <w:rPr>
                <w:rFonts w:hint="eastAsia"/>
              </w:rPr>
              <w:t>甘肃省人民代表大会常务委员会保证宪法、法律、行政法规和上级人民代表大会及其常务委员会决议的遵守和执行情况。</w:t>
            </w:r>
          </w:p>
        </w:tc>
        <w:tc>
          <w:tcPr>
            <w:tcW w:w="2300" w:type="dxa"/>
            <w:shd w:val="clear" w:color="auto" w:fill="auto"/>
            <w:vAlign w:val="center"/>
          </w:tcPr>
          <w:p>
            <w:pPr>
              <w:pStyle w:val="37"/>
              <w:jc w:val="both"/>
            </w:pPr>
            <w:r>
              <w:t>达到标杆值得100%权重分，否则每降低1%扣5%权重分，扣完为止。</w:t>
            </w:r>
          </w:p>
        </w:tc>
        <w:tc>
          <w:tcPr>
            <w:tcW w:w="3920" w:type="dxa"/>
            <w:shd w:val="clear" w:color="auto" w:fill="auto"/>
            <w:vAlign w:val="center"/>
          </w:tcPr>
          <w:p>
            <w:pPr>
              <w:pStyle w:val="37"/>
              <w:jc w:val="both"/>
            </w:pPr>
            <w:r>
              <w:rPr>
                <w:lang w:bidi="ar"/>
              </w:rPr>
              <w:t>2020年度，甘肃省人民代表大会常务委员会筹备召开省人代会和常委会会议、制定年度工作要点及立法计划、制定修改重要地方性法规等履职中的重要事项，及时向省委请示报告。深入贯彻省委人大工作会议精神，细化工作举措，加强调研指导，交流经验做法，推动省委关于加强新时代人大工作的部署要求落到实处。自觉接受党中央巡视，认真检视问题，研究推动整改；面对突如其来的新冠肺炎疫情，常委会深入学习领会习近平总书记关于统筹推进疫情防控和经济社会发展工作系列</w:t>
            </w:r>
            <w:r>
              <w:rPr>
                <w:rFonts w:hint="eastAsia"/>
                <w:lang w:bidi="ar"/>
              </w:rPr>
              <w:t>重要讲话精神，坚决贯彻中央和省委决策部署，切实扛起非常时期的责任担当，及时作出全面禁止非法野生动物交易、革除滥食野生动物陋习、保障人民群众生命健康安全的决定，支持相关部门依法实施疫情防控及应急处置措施，围绕传染病防治法、野生动物保护法和我省实施办法及相关决定开展全覆盖执法检查，并结合执法检查启动相关法规的修订工作，发挥了法治在疫情防控中的规范和保障作用。根据指标评分标准，该指标得满分。</w:t>
            </w:r>
          </w:p>
        </w:tc>
        <w:tc>
          <w:tcPr>
            <w:tcW w:w="703" w:type="dxa"/>
            <w:shd w:val="clear" w:color="auto" w:fill="auto"/>
            <w:vAlign w:val="center"/>
          </w:tcPr>
          <w:p>
            <w:pPr>
              <w:pStyle w:val="37"/>
            </w:pPr>
            <w:r>
              <w:t>6.00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C22</w:t>
            </w:r>
            <w:r>
              <w:rPr>
                <w:rFonts w:hint="eastAsia"/>
              </w:rPr>
              <w:t>促进本省的政治、经济、教育、科学、文化、卫生、环境和资源保护、民政、民族等事业有序发展</w:t>
            </w:r>
          </w:p>
        </w:tc>
        <w:tc>
          <w:tcPr>
            <w:tcW w:w="940" w:type="dxa"/>
            <w:shd w:val="clear" w:color="auto" w:fill="auto"/>
            <w:vAlign w:val="center"/>
          </w:tcPr>
          <w:p>
            <w:pPr>
              <w:pStyle w:val="37"/>
            </w:pPr>
            <w:r>
              <w:t>0%</w:t>
            </w:r>
          </w:p>
        </w:tc>
        <w:tc>
          <w:tcPr>
            <w:tcW w:w="760" w:type="dxa"/>
            <w:shd w:val="clear" w:color="auto" w:fill="auto"/>
            <w:vAlign w:val="center"/>
          </w:tcPr>
          <w:p>
            <w:pPr>
              <w:pStyle w:val="37"/>
            </w:pPr>
            <w:r>
              <w:t>5</w:t>
            </w:r>
          </w:p>
        </w:tc>
        <w:tc>
          <w:tcPr>
            <w:tcW w:w="2397" w:type="dxa"/>
            <w:shd w:val="clear" w:color="auto" w:fill="auto"/>
            <w:vAlign w:val="center"/>
          </w:tcPr>
          <w:p>
            <w:pPr>
              <w:pStyle w:val="37"/>
              <w:jc w:val="both"/>
            </w:pPr>
            <w:r>
              <w:t>考察20</w:t>
            </w:r>
            <w:r>
              <w:rPr>
                <w:rFonts w:hint="eastAsia"/>
              </w:rPr>
              <w:t>20</w:t>
            </w:r>
            <w:r>
              <w:t>年度</w:t>
            </w:r>
            <w:r>
              <w:rPr>
                <w:rFonts w:hint="eastAsia"/>
              </w:rPr>
              <w:t>甘肃省人民代表大会常务委员会促进本省的政治、经济、教育、科学、文化、卫生、环境和资源保护、民政、民族等事业有序发展</w:t>
            </w:r>
          </w:p>
        </w:tc>
        <w:tc>
          <w:tcPr>
            <w:tcW w:w="2300" w:type="dxa"/>
            <w:shd w:val="clear" w:color="auto" w:fill="auto"/>
            <w:vAlign w:val="center"/>
          </w:tcPr>
          <w:p>
            <w:pPr>
              <w:pStyle w:val="37"/>
              <w:jc w:val="both"/>
            </w:pPr>
            <w:r>
              <w:t>达到标杆值得100%权重分，否则每增加1起扣20%权重分，扣完为止。</w:t>
            </w:r>
          </w:p>
        </w:tc>
        <w:tc>
          <w:tcPr>
            <w:tcW w:w="3920" w:type="dxa"/>
            <w:shd w:val="clear" w:color="auto" w:fill="auto"/>
            <w:vAlign w:val="center"/>
          </w:tcPr>
          <w:p>
            <w:pPr>
              <w:pStyle w:val="37"/>
              <w:jc w:val="both"/>
              <w:rPr>
                <w:lang w:bidi="ar"/>
              </w:rPr>
            </w:pPr>
            <w:r>
              <w:rPr>
                <w:rFonts w:hint="eastAsia"/>
                <w:lang w:bidi="ar"/>
              </w:rPr>
              <w:t>围绕“十四五”规划纲要编制，开展黄河上游陇中地区生态保护和高质量发展、重大交通基础设施项目建设、确保国家粮食安全和推动高标准农田建设、兰州白银国家自主创新示范区人才相关问题等专题调研，提出意见建议；聚焦打好污染防治攻坚战，持续围绕大气、水、土壤污染防治</w:t>
            </w:r>
            <w:r>
              <w:rPr>
                <w:lang w:bidi="ar"/>
              </w:rPr>
              <w:t>3部法律实施情况开展链条式执法检查。积极配合全国人大开展土壤污染防治法执法检查，全面报告我省贯彻落实全国人大常委会决议、打好污染防治攻坚战的情况和黄河保护法议案相关情况，其做法成效得到全国人大的肯定；围绕全省职业教育发展开展专题调研，组织部分在甘全国人大代表进</w:t>
            </w:r>
            <w:r>
              <w:rPr>
                <w:rFonts w:hint="eastAsia"/>
                <w:lang w:bidi="ar"/>
              </w:rPr>
              <w:t>行集中视察，听取审议省政府职业教育事业发展情况的报告，举行联组会议进行专题询问，推动解决存在的困难和问题；持续推动宪法学习宣传和贯彻实施，深化拓展宪法联系点活动，落实宪法宣誓制度，组织选举、任命和决定任命的国家工作人员进行宪法宣誓，推动形成尊崇宪法、学习宪法、遵守宪法、维护宪法、运用宪法的良好氛围。根据指标评分标准，该指标得满分。</w:t>
            </w:r>
          </w:p>
        </w:tc>
        <w:tc>
          <w:tcPr>
            <w:tcW w:w="703" w:type="dxa"/>
            <w:shd w:val="clear" w:color="auto" w:fill="auto"/>
            <w:vAlign w:val="center"/>
          </w:tcPr>
          <w:p>
            <w:pPr>
              <w:pStyle w:val="37"/>
              <w:rPr>
                <w:lang w:bidi="ar"/>
              </w:rPr>
            </w:pPr>
            <w:r>
              <w:rPr>
                <w:rFonts w:hint="eastAsia"/>
                <w:lang w:bidi="ar"/>
              </w:rPr>
              <w:t>5.00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C3服务对象满意度</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8</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C31部门职工满意度</w:t>
            </w:r>
          </w:p>
        </w:tc>
        <w:tc>
          <w:tcPr>
            <w:tcW w:w="940" w:type="dxa"/>
            <w:shd w:val="clear" w:color="auto" w:fill="auto"/>
            <w:vAlign w:val="center"/>
          </w:tcPr>
          <w:p>
            <w:pPr>
              <w:pStyle w:val="37"/>
            </w:pPr>
            <w:r>
              <w:t>85%</w:t>
            </w:r>
          </w:p>
        </w:tc>
        <w:tc>
          <w:tcPr>
            <w:tcW w:w="760" w:type="dxa"/>
            <w:shd w:val="clear" w:color="auto" w:fill="auto"/>
            <w:vAlign w:val="center"/>
          </w:tcPr>
          <w:p>
            <w:pPr>
              <w:pStyle w:val="37"/>
            </w:pPr>
            <w:r>
              <w:t>8</w:t>
            </w:r>
          </w:p>
        </w:tc>
        <w:tc>
          <w:tcPr>
            <w:tcW w:w="2397" w:type="dxa"/>
            <w:shd w:val="clear" w:color="auto" w:fill="auto"/>
            <w:vAlign w:val="center"/>
          </w:tcPr>
          <w:p>
            <w:pPr>
              <w:pStyle w:val="37"/>
              <w:jc w:val="both"/>
            </w:pPr>
            <w:r>
              <w:t>通过对部门职工进行满意程度调查，反映和考核职工对部门运营现状的满意度。</w:t>
            </w:r>
          </w:p>
        </w:tc>
        <w:tc>
          <w:tcPr>
            <w:tcW w:w="2300" w:type="dxa"/>
            <w:shd w:val="clear" w:color="auto" w:fill="auto"/>
            <w:vAlign w:val="center"/>
          </w:tcPr>
          <w:p>
            <w:pPr>
              <w:pStyle w:val="37"/>
              <w:jc w:val="both"/>
            </w:pPr>
            <w:r>
              <w:t>达到标杆值得100%权重分，否则每降低1%扣2%权重分，扣完为止。</w:t>
            </w:r>
          </w:p>
        </w:tc>
        <w:tc>
          <w:tcPr>
            <w:tcW w:w="3920" w:type="dxa"/>
            <w:shd w:val="clear" w:color="auto" w:fill="auto"/>
            <w:vAlign w:val="center"/>
          </w:tcPr>
          <w:p>
            <w:pPr>
              <w:pStyle w:val="37"/>
              <w:jc w:val="both"/>
              <w:rPr>
                <w:highlight w:val="yellow"/>
              </w:rPr>
            </w:pPr>
            <w:r>
              <w:t>根据问卷调查结果显示，受益对象的整体满意程度为92.15%，满意度水平</w:t>
            </w:r>
            <w:r>
              <w:rPr>
                <w:rFonts w:hint="eastAsia"/>
              </w:rPr>
              <w:t>较高</w:t>
            </w:r>
            <w:r>
              <w:t>。根据指标评分标准，</w:t>
            </w:r>
            <w:r>
              <w:rPr>
                <w:rFonts w:hint="eastAsia"/>
              </w:rPr>
              <w:t>该项指标得满分</w:t>
            </w:r>
            <w:r>
              <w:t>。</w:t>
            </w:r>
          </w:p>
        </w:tc>
        <w:tc>
          <w:tcPr>
            <w:tcW w:w="703" w:type="dxa"/>
            <w:shd w:val="clear" w:color="auto" w:fill="auto"/>
            <w:vAlign w:val="center"/>
          </w:tcPr>
          <w:p>
            <w:pPr>
              <w:pStyle w:val="37"/>
            </w:pPr>
            <w:r>
              <w:rPr>
                <w:rFonts w:hint="eastAsia"/>
              </w:rPr>
              <w:t>8</w:t>
            </w:r>
          </w:p>
        </w:tc>
        <w:tc>
          <w:tcPr>
            <w:tcW w:w="985" w:type="dxa"/>
            <w:shd w:val="clear" w:color="auto" w:fill="auto"/>
            <w:vAlign w:val="center"/>
          </w:tcPr>
          <w:p>
            <w:pPr>
              <w:pStyle w:val="37"/>
            </w:pPr>
            <w:r>
              <w:rPr>
                <w:rFonts w:hint="eastAsia"/>
              </w:rPr>
              <w:t>100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900" w:type="dxa"/>
            <w:shd w:val="clear" w:color="auto" w:fill="auto"/>
            <w:vAlign w:val="center"/>
          </w:tcPr>
          <w:p>
            <w:pPr>
              <w:pStyle w:val="37"/>
            </w:pPr>
            <w:r>
              <w:t>D部门能力建设</w:t>
            </w:r>
          </w:p>
        </w:tc>
        <w:tc>
          <w:tcPr>
            <w:tcW w:w="1108" w:type="dxa"/>
            <w:shd w:val="clear" w:color="auto" w:fill="auto"/>
            <w:vAlign w:val="center"/>
          </w:tcPr>
          <w:p>
            <w:pPr>
              <w:pStyle w:val="37"/>
            </w:pP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12</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r>
              <w:t>D1机制建立</w:t>
            </w: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12</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p>
        </w:tc>
        <w:tc>
          <w:tcPr>
            <w:tcW w:w="985" w:type="dxa"/>
            <w:shd w:val="clear" w:color="auto" w:fill="auto"/>
            <w:vAlign w:val="center"/>
          </w:tcPr>
          <w:p>
            <w:pPr>
              <w:pStyle w:val="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D11</w:t>
            </w:r>
            <w:r>
              <w:rPr>
                <w:rFonts w:hint="eastAsia"/>
              </w:rPr>
              <w:t>项目管理</w:t>
            </w:r>
            <w:r>
              <w:t>长效机制健全性</w:t>
            </w:r>
          </w:p>
        </w:tc>
        <w:tc>
          <w:tcPr>
            <w:tcW w:w="940" w:type="dxa"/>
            <w:shd w:val="clear" w:color="auto" w:fill="auto"/>
            <w:vAlign w:val="center"/>
          </w:tcPr>
          <w:p>
            <w:pPr>
              <w:pStyle w:val="37"/>
            </w:pPr>
            <w:r>
              <w:t>健全</w:t>
            </w:r>
          </w:p>
        </w:tc>
        <w:tc>
          <w:tcPr>
            <w:tcW w:w="760" w:type="dxa"/>
            <w:shd w:val="clear" w:color="auto" w:fill="auto"/>
            <w:vAlign w:val="center"/>
          </w:tcPr>
          <w:p>
            <w:pPr>
              <w:pStyle w:val="37"/>
            </w:pPr>
            <w:r>
              <w:t>6</w:t>
            </w:r>
          </w:p>
        </w:tc>
        <w:tc>
          <w:tcPr>
            <w:tcW w:w="2397" w:type="dxa"/>
            <w:shd w:val="clear" w:color="auto" w:fill="auto"/>
            <w:vAlign w:val="center"/>
          </w:tcPr>
          <w:p>
            <w:pPr>
              <w:pStyle w:val="37"/>
              <w:jc w:val="both"/>
            </w:pPr>
            <w:r>
              <w:t>考察相关</w:t>
            </w:r>
            <w:r>
              <w:rPr>
                <w:rFonts w:hint="eastAsia"/>
              </w:rPr>
              <w:t>管理</w:t>
            </w:r>
            <w:r>
              <w:t>机制建立情况。</w:t>
            </w:r>
          </w:p>
        </w:tc>
        <w:tc>
          <w:tcPr>
            <w:tcW w:w="2300" w:type="dxa"/>
            <w:shd w:val="clear" w:color="auto" w:fill="auto"/>
            <w:vAlign w:val="center"/>
          </w:tcPr>
          <w:p>
            <w:pPr>
              <w:pStyle w:val="37"/>
              <w:jc w:val="both"/>
            </w:pPr>
            <w:r>
              <w:t>建立完善的</w:t>
            </w:r>
            <w:r>
              <w:rPr>
                <w:rFonts w:hint="eastAsia"/>
              </w:rPr>
              <w:t>项目管理长效</w:t>
            </w:r>
            <w:r>
              <w:t>机制得满分，否则不得分。</w:t>
            </w:r>
          </w:p>
        </w:tc>
        <w:tc>
          <w:tcPr>
            <w:tcW w:w="3920" w:type="dxa"/>
            <w:shd w:val="clear" w:color="auto" w:fill="auto"/>
            <w:vAlign w:val="center"/>
          </w:tcPr>
          <w:p>
            <w:pPr>
              <w:pStyle w:val="37"/>
              <w:jc w:val="both"/>
            </w:pPr>
            <w:r>
              <w:rPr>
                <w:rFonts w:hint="eastAsia"/>
              </w:rPr>
              <w:t>甘肃省人民代表大会常务委员会办公厅制度健全，制定了《甘肃省人大常委会机关财务管理办法》，项目实施中，严格遵守上述管理制度，</w:t>
            </w:r>
            <w:r>
              <w:t>根据指标评分标准，该指标得满分。</w:t>
            </w:r>
          </w:p>
        </w:tc>
        <w:tc>
          <w:tcPr>
            <w:tcW w:w="703" w:type="dxa"/>
            <w:shd w:val="clear" w:color="auto" w:fill="auto"/>
            <w:vAlign w:val="center"/>
          </w:tcPr>
          <w:p>
            <w:pPr>
              <w:pStyle w:val="37"/>
            </w:pPr>
            <w:r>
              <w:t>6.00</w:t>
            </w:r>
          </w:p>
        </w:tc>
        <w:tc>
          <w:tcPr>
            <w:tcW w:w="985" w:type="dxa"/>
            <w:shd w:val="clear" w:color="auto" w:fill="auto"/>
            <w:vAlign w:val="center"/>
          </w:tcPr>
          <w:p>
            <w:pPr>
              <w:pStyle w:val="37"/>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37"/>
            </w:pPr>
          </w:p>
        </w:tc>
        <w:tc>
          <w:tcPr>
            <w:tcW w:w="1108" w:type="dxa"/>
            <w:shd w:val="clear" w:color="auto" w:fill="auto"/>
            <w:vAlign w:val="center"/>
          </w:tcPr>
          <w:p>
            <w:pPr>
              <w:pStyle w:val="37"/>
            </w:pPr>
          </w:p>
        </w:tc>
        <w:tc>
          <w:tcPr>
            <w:tcW w:w="1283" w:type="dxa"/>
            <w:shd w:val="clear" w:color="auto" w:fill="auto"/>
            <w:vAlign w:val="center"/>
          </w:tcPr>
          <w:p>
            <w:pPr>
              <w:pStyle w:val="37"/>
              <w:jc w:val="both"/>
            </w:pPr>
            <w:r>
              <w:t>D12信息共享机制健全性</w:t>
            </w:r>
          </w:p>
        </w:tc>
        <w:tc>
          <w:tcPr>
            <w:tcW w:w="940" w:type="dxa"/>
            <w:shd w:val="clear" w:color="auto" w:fill="auto"/>
            <w:vAlign w:val="center"/>
          </w:tcPr>
          <w:p>
            <w:pPr>
              <w:pStyle w:val="37"/>
            </w:pPr>
            <w:r>
              <w:t>健全</w:t>
            </w:r>
          </w:p>
        </w:tc>
        <w:tc>
          <w:tcPr>
            <w:tcW w:w="760" w:type="dxa"/>
            <w:shd w:val="clear" w:color="auto" w:fill="auto"/>
            <w:vAlign w:val="center"/>
          </w:tcPr>
          <w:p>
            <w:pPr>
              <w:pStyle w:val="37"/>
            </w:pPr>
            <w:r>
              <w:t>6</w:t>
            </w:r>
          </w:p>
        </w:tc>
        <w:tc>
          <w:tcPr>
            <w:tcW w:w="2397" w:type="dxa"/>
            <w:shd w:val="clear" w:color="auto" w:fill="auto"/>
            <w:vAlign w:val="center"/>
          </w:tcPr>
          <w:p>
            <w:pPr>
              <w:pStyle w:val="37"/>
              <w:jc w:val="both"/>
            </w:pPr>
            <w:r>
              <w:t>考察相关信息共享机制建立情况。</w:t>
            </w:r>
          </w:p>
        </w:tc>
        <w:tc>
          <w:tcPr>
            <w:tcW w:w="2300" w:type="dxa"/>
            <w:shd w:val="clear" w:color="auto" w:fill="auto"/>
            <w:vAlign w:val="center"/>
          </w:tcPr>
          <w:p>
            <w:pPr>
              <w:pStyle w:val="37"/>
              <w:jc w:val="both"/>
            </w:pPr>
            <w:r>
              <w:t>建立了相关的信息公开机制，并在信息公开平台上及时更新相关信息。未建立不得分。</w:t>
            </w:r>
          </w:p>
        </w:tc>
        <w:tc>
          <w:tcPr>
            <w:tcW w:w="3920" w:type="dxa"/>
            <w:shd w:val="clear" w:color="auto" w:fill="auto"/>
            <w:vAlign w:val="center"/>
          </w:tcPr>
          <w:p>
            <w:pPr>
              <w:pStyle w:val="37"/>
              <w:jc w:val="both"/>
            </w:pPr>
            <w:r>
              <w:t>信息公开平台上更新相关信息及时。</w:t>
            </w:r>
            <w:r>
              <w:rPr>
                <w:rFonts w:hint="eastAsia"/>
              </w:rPr>
              <w:t>甘肃省人民代表大会常务委员会办公厅网页中，各项信息公布更新及时，</w:t>
            </w:r>
            <w:r>
              <w:t>根据指标评分标准，该指标酌情扣除1/3权重分。</w:t>
            </w:r>
          </w:p>
        </w:tc>
        <w:tc>
          <w:tcPr>
            <w:tcW w:w="703" w:type="dxa"/>
            <w:shd w:val="clear" w:color="auto" w:fill="auto"/>
            <w:vAlign w:val="center"/>
          </w:tcPr>
          <w:p>
            <w:pPr>
              <w:pStyle w:val="37"/>
            </w:pPr>
            <w:r>
              <w:rPr>
                <w:rFonts w:hint="eastAsia"/>
              </w:rPr>
              <w:t>6</w:t>
            </w:r>
          </w:p>
        </w:tc>
        <w:tc>
          <w:tcPr>
            <w:tcW w:w="985" w:type="dxa"/>
            <w:shd w:val="clear" w:color="auto" w:fill="auto"/>
            <w:vAlign w:val="center"/>
          </w:tcPr>
          <w:p>
            <w:pPr>
              <w:pStyle w:val="37"/>
            </w:pPr>
            <w:r>
              <w:rPr>
                <w:rFonts w:hint="eastAsia"/>
              </w:rPr>
              <w:t>100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00" w:type="dxa"/>
            <w:shd w:val="clear" w:color="auto" w:fill="auto"/>
            <w:vAlign w:val="center"/>
          </w:tcPr>
          <w:p>
            <w:pPr>
              <w:pStyle w:val="37"/>
            </w:pPr>
            <w:r>
              <w:t>合计</w:t>
            </w:r>
          </w:p>
        </w:tc>
        <w:tc>
          <w:tcPr>
            <w:tcW w:w="1108" w:type="dxa"/>
            <w:shd w:val="clear" w:color="auto" w:fill="auto"/>
            <w:vAlign w:val="center"/>
          </w:tcPr>
          <w:p>
            <w:pPr>
              <w:pStyle w:val="37"/>
            </w:pPr>
          </w:p>
        </w:tc>
        <w:tc>
          <w:tcPr>
            <w:tcW w:w="1283" w:type="dxa"/>
            <w:shd w:val="clear" w:color="auto" w:fill="auto"/>
            <w:vAlign w:val="center"/>
          </w:tcPr>
          <w:p>
            <w:pPr>
              <w:pStyle w:val="37"/>
              <w:jc w:val="both"/>
            </w:pPr>
          </w:p>
        </w:tc>
        <w:tc>
          <w:tcPr>
            <w:tcW w:w="940" w:type="dxa"/>
            <w:shd w:val="clear" w:color="auto" w:fill="auto"/>
            <w:vAlign w:val="center"/>
          </w:tcPr>
          <w:p>
            <w:pPr>
              <w:pStyle w:val="37"/>
            </w:pPr>
          </w:p>
        </w:tc>
        <w:tc>
          <w:tcPr>
            <w:tcW w:w="760" w:type="dxa"/>
            <w:shd w:val="clear" w:color="auto" w:fill="auto"/>
            <w:vAlign w:val="center"/>
          </w:tcPr>
          <w:p>
            <w:pPr>
              <w:pStyle w:val="37"/>
            </w:pPr>
            <w:r>
              <w:t>100</w:t>
            </w:r>
          </w:p>
        </w:tc>
        <w:tc>
          <w:tcPr>
            <w:tcW w:w="2397" w:type="dxa"/>
            <w:shd w:val="clear" w:color="auto" w:fill="auto"/>
            <w:vAlign w:val="center"/>
          </w:tcPr>
          <w:p>
            <w:pPr>
              <w:pStyle w:val="37"/>
              <w:jc w:val="both"/>
            </w:pPr>
            <w:r>
              <w:t>　</w:t>
            </w:r>
          </w:p>
        </w:tc>
        <w:tc>
          <w:tcPr>
            <w:tcW w:w="2300" w:type="dxa"/>
            <w:shd w:val="clear" w:color="auto" w:fill="auto"/>
            <w:vAlign w:val="center"/>
          </w:tcPr>
          <w:p>
            <w:pPr>
              <w:pStyle w:val="37"/>
              <w:jc w:val="both"/>
            </w:pPr>
            <w:r>
              <w:t>　</w:t>
            </w:r>
          </w:p>
        </w:tc>
        <w:tc>
          <w:tcPr>
            <w:tcW w:w="3920" w:type="dxa"/>
            <w:shd w:val="clear" w:color="auto" w:fill="auto"/>
            <w:vAlign w:val="center"/>
          </w:tcPr>
          <w:p>
            <w:pPr>
              <w:pStyle w:val="37"/>
              <w:jc w:val="both"/>
            </w:pPr>
            <w:r>
              <w:t>　</w:t>
            </w:r>
          </w:p>
        </w:tc>
        <w:tc>
          <w:tcPr>
            <w:tcW w:w="703" w:type="dxa"/>
            <w:shd w:val="clear" w:color="auto" w:fill="auto"/>
            <w:vAlign w:val="center"/>
          </w:tcPr>
          <w:p>
            <w:pPr>
              <w:pStyle w:val="37"/>
            </w:pPr>
            <w:r>
              <w:rPr>
                <w:rFonts w:hint="eastAsia"/>
              </w:rPr>
              <w:t>9</w:t>
            </w:r>
            <w:r>
              <w:t>6.02</w:t>
            </w:r>
          </w:p>
        </w:tc>
        <w:tc>
          <w:tcPr>
            <w:tcW w:w="985" w:type="dxa"/>
            <w:shd w:val="clear" w:color="auto" w:fill="auto"/>
            <w:vAlign w:val="center"/>
          </w:tcPr>
          <w:p>
            <w:pPr>
              <w:pStyle w:val="37"/>
            </w:pPr>
            <w:r>
              <w:rPr>
                <w:rFonts w:hint="eastAsia"/>
              </w:rPr>
              <w:t>9</w:t>
            </w:r>
            <w:r>
              <w:t>6.02%</w:t>
            </w:r>
          </w:p>
        </w:tc>
      </w:tr>
    </w:tbl>
    <w:p>
      <w:pPr>
        <w:pStyle w:val="19"/>
      </w:pPr>
    </w:p>
    <w:p>
      <w:pPr>
        <w:widowControl/>
        <w:jc w:val="left"/>
        <w:sectPr>
          <w:pgSz w:w="16838" w:h="11906" w:orient="landscape"/>
          <w:pgMar w:top="1440" w:right="1080" w:bottom="1440" w:left="1080" w:header="851" w:footer="992" w:gutter="0"/>
          <w:cols w:space="425" w:num="1"/>
          <w:titlePg/>
          <w:docGrid w:type="linesAndChars" w:linePitch="312" w:charSpace="0"/>
        </w:sectPr>
      </w:pPr>
    </w:p>
    <w:p>
      <w:pPr>
        <w:pStyle w:val="19"/>
        <w:ind w:firstLine="0" w:firstLineChars="0"/>
      </w:pPr>
      <w:r>
        <w:rPr>
          <w:rFonts w:hint="eastAsia"/>
        </w:rPr>
        <w:t>附件二</w:t>
      </w:r>
      <w:r>
        <w:t xml:space="preserve"> 满意度调查报告</w:t>
      </w:r>
    </w:p>
    <w:p>
      <w:pPr>
        <w:pStyle w:val="18"/>
      </w:pPr>
    </w:p>
    <w:p>
      <w:pPr>
        <w:pStyle w:val="18"/>
      </w:pPr>
      <w:r>
        <w:t>20</w:t>
      </w:r>
      <w:r>
        <w:rPr>
          <w:rFonts w:hint="eastAsia"/>
        </w:rPr>
        <w:t>20</w:t>
      </w:r>
      <w:r>
        <w:t>年甘肃省人民代表大会常务委员会</w:t>
      </w:r>
      <w:bookmarkStart w:id="77" w:name="_Hlk76455435"/>
    </w:p>
    <w:p>
      <w:pPr>
        <w:pStyle w:val="18"/>
      </w:pPr>
      <w:r>
        <w:t>部门</w:t>
      </w:r>
      <w:r>
        <w:rPr>
          <w:rFonts w:hint="eastAsia"/>
        </w:rPr>
        <w:t>整体支出绩效评价满意度调查报告</w:t>
      </w:r>
      <w:bookmarkEnd w:id="77"/>
    </w:p>
    <w:p>
      <w:pPr>
        <w:pStyle w:val="19"/>
      </w:pPr>
      <w:bookmarkStart w:id="78" w:name="_Hlk76455313"/>
    </w:p>
    <w:p>
      <w:pPr>
        <w:pStyle w:val="19"/>
      </w:pPr>
      <w:r>
        <w:rPr>
          <w:rFonts w:hint="eastAsia"/>
        </w:rPr>
        <w:t>一、调研背景</w:t>
      </w:r>
    </w:p>
    <w:p>
      <w:pPr>
        <w:pStyle w:val="19"/>
      </w:pPr>
      <w:r>
        <w:rPr>
          <w:rFonts w:hint="eastAsia"/>
        </w:rPr>
        <w:t>本次绩效评价的对象为甘肃省人民代表大会常务委员会，为客观反映部门整体情况，对涉及的部门职工展开满意度问卷调查，本次绩效评价指标体系中引入了“满意度”指标，评价组采用问卷方式对部门职工开展满意度调查。</w:t>
      </w:r>
    </w:p>
    <w:p>
      <w:pPr>
        <w:pStyle w:val="19"/>
      </w:pPr>
      <w:r>
        <w:rPr>
          <w:rFonts w:hint="eastAsia"/>
        </w:rPr>
        <w:t>二、调查对象与调查内容</w:t>
      </w:r>
    </w:p>
    <w:p>
      <w:pPr>
        <w:pStyle w:val="19"/>
      </w:pPr>
      <w:r>
        <w:rPr>
          <w:rFonts w:hint="eastAsia"/>
        </w:rPr>
        <w:t>（一）调查对象</w:t>
      </w:r>
    </w:p>
    <w:p>
      <w:pPr>
        <w:pStyle w:val="19"/>
      </w:pPr>
      <w:r>
        <w:rPr>
          <w:rFonts w:hint="eastAsia"/>
        </w:rPr>
        <w:t>本次调查对象为甘肃省人民代表大会常务委员会的职工。</w:t>
      </w:r>
    </w:p>
    <w:p>
      <w:pPr>
        <w:pStyle w:val="19"/>
      </w:pPr>
      <w:r>
        <w:rPr>
          <w:rFonts w:hint="eastAsia"/>
        </w:rPr>
        <w:t>（二）调查内容</w:t>
      </w:r>
    </w:p>
    <w:p>
      <w:pPr>
        <w:pStyle w:val="19"/>
      </w:pPr>
      <w:r>
        <w:t>1.基本信息包括：性别、年龄、在该部门的工作年长、工作岗位。</w:t>
      </w:r>
    </w:p>
    <w:p>
      <w:pPr>
        <w:pStyle w:val="19"/>
      </w:pPr>
      <w:r>
        <w:t>2.基本问题包括：您认为部门机构制度及执行状况如何、您对现在从事工作的适应程度、您是否参加过部门培训、您的部门是否对您的岗位工作进行考核、您认为部门整体工作执行力是否合理、您认为部门之间的配合协调情况是否合理。</w:t>
      </w:r>
    </w:p>
    <w:p>
      <w:pPr>
        <w:pStyle w:val="19"/>
      </w:pPr>
      <w:r>
        <w:t>3.满意度问题包括：目前福利待遇满意度、目前的各项工作分配合理性、在工作得到公平公正评价方面的满意度性、目前的制度建设合理性、组织过的业务培训总体满意度情况。</w:t>
      </w:r>
    </w:p>
    <w:p>
      <w:pPr>
        <w:pStyle w:val="19"/>
      </w:pPr>
      <w:r>
        <w:t>4.开放问题包括：您对本部门的发展有什么意见或建议。对部门目前的整体管理水平有什么意见或建议。</w:t>
      </w:r>
    </w:p>
    <w:p>
      <w:pPr>
        <w:pStyle w:val="19"/>
      </w:pPr>
      <w:r>
        <w:rPr>
          <w:rFonts w:hint="eastAsia"/>
        </w:rPr>
        <w:t>三、调查方法与抽样方式</w:t>
      </w:r>
    </w:p>
    <w:p>
      <w:pPr>
        <w:pStyle w:val="19"/>
      </w:pPr>
      <w:r>
        <w:rPr>
          <w:rFonts w:hint="eastAsia"/>
        </w:rPr>
        <w:t>（一）调查方法</w:t>
      </w:r>
    </w:p>
    <w:p>
      <w:pPr>
        <w:pStyle w:val="19"/>
      </w:pPr>
      <w:r>
        <w:rPr>
          <w:rFonts w:hint="eastAsia"/>
        </w:rPr>
        <w:t>针对上述调查对象开展问卷调查，在全面调研开展之前先进行论证，根据论证结果对问卷设计和抽样方案进行一次修改调整。</w:t>
      </w:r>
    </w:p>
    <w:p>
      <w:pPr>
        <w:pStyle w:val="19"/>
      </w:pPr>
      <w:r>
        <w:rPr>
          <w:rFonts w:hint="eastAsia"/>
        </w:rPr>
        <w:t>（二）抽样方式</w:t>
      </w:r>
    </w:p>
    <w:p>
      <w:pPr>
        <w:pStyle w:val="19"/>
      </w:pPr>
      <w:r>
        <w:rPr>
          <w:rFonts w:hint="eastAsia"/>
        </w:rPr>
        <w:t>本次问卷调查采用随机抽样方式。</w:t>
      </w:r>
    </w:p>
    <w:p>
      <w:pPr>
        <w:pStyle w:val="19"/>
      </w:pPr>
      <w:r>
        <w:rPr>
          <w:rFonts w:hint="eastAsia"/>
        </w:rPr>
        <w:t>四、问卷的发放和回收</w:t>
      </w:r>
    </w:p>
    <w:p>
      <w:pPr>
        <w:pStyle w:val="19"/>
      </w:pPr>
      <w:r>
        <w:rPr>
          <w:rFonts w:hint="eastAsia"/>
        </w:rPr>
        <w:t>为给调查对象创造良好的作答环境、保证调查的科学性和严谨性，我公司工作人员在甘肃省人民代表大会常务委员会的协调下，组织安排了线上问卷填答工作。本次问卷调查共回收有效问卷</w:t>
      </w:r>
      <w:r>
        <w:t>28份。</w:t>
      </w:r>
    </w:p>
    <w:p>
      <w:pPr>
        <w:pStyle w:val="19"/>
      </w:pPr>
      <w:r>
        <w:rPr>
          <w:rFonts w:hint="eastAsia"/>
        </w:rPr>
        <w:t>五、调查问卷的信度与效度分析</w:t>
      </w:r>
    </w:p>
    <w:p>
      <w:pPr>
        <w:pStyle w:val="19"/>
      </w:pPr>
      <w:r>
        <w:rPr>
          <w:rFonts w:hint="eastAsia"/>
        </w:rPr>
        <w:t>（一）信度分析</w:t>
      </w:r>
    </w:p>
    <w:p>
      <w:pPr>
        <w:widowControl/>
        <w:spacing w:line="660" w:lineRule="exact"/>
        <w:ind w:firstLine="640" w:firstLineChars="200"/>
        <w:rPr>
          <w:rFonts w:ascii="仿宋_GB2312" w:hAnsi="仿宋_GB2312" w:eastAsia="仿宋_GB2312"/>
          <w:sz w:val="32"/>
        </w:rPr>
      </w:pPr>
      <w:r>
        <w:rPr>
          <w:rFonts w:hint="eastAsia" w:ascii="仿宋_GB2312" w:hAnsi="仿宋_GB2312" w:eastAsia="仿宋_GB2312"/>
          <w:sz w:val="32"/>
        </w:rPr>
        <w:t>信度（</w:t>
      </w:r>
      <w:r>
        <w:rPr>
          <w:rFonts w:ascii="仿宋_GB2312" w:hAnsi="仿宋_GB2312" w:eastAsia="仿宋_GB2312"/>
          <w:sz w:val="32"/>
        </w:rPr>
        <w:t>Reliability）是指测量结果的一致性、稳定性及可靠性。本次问卷调查运用克朗巴哈信度系数法（Cronbach α）来测量满意度问题的信度，其计算公式为：</w:t>
      </w:r>
    </w:p>
    <w:p>
      <w:pP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其中</w:t>
      </w:r>
      <w:r>
        <w:rPr>
          <w:rFonts w:ascii="仿宋_GB2312" w:hAnsi="仿宋_GB2312" w:eastAsia="仿宋_GB2312" w:cs="Times New Roman"/>
          <w:sz w:val="32"/>
        </w:rPr>
        <w:t>K表示问卷中问题的数目，为第个问题得分的方差，为总得分的方差。</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通常，克朗巴哈系数的值在</w:t>
      </w:r>
      <w:r>
        <w:rPr>
          <w:rFonts w:ascii="仿宋_GB2312" w:hAnsi="仿宋_GB2312" w:eastAsia="仿宋_GB2312" w:cs="Times New Roman"/>
          <w:sz w:val="32"/>
        </w:rPr>
        <w:t>0和1之间。通常情况下，信度系数在0.9以上，则认为量表的内在信度高；信度系数在0.8～0.9之间，则表示量表信度较高；信度系数在0.7～0.8之间，表示量表具有相当的信度；信度系数不超过0.7，一般认为内部一致信度不足。</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分析结果显示，本次甘肃省人民代表大会常务委员会部门职工满意度调查问卷的信度为</w:t>
      </w:r>
      <w:r>
        <w:rPr>
          <w:rFonts w:ascii="仿宋_GB2312" w:hAnsi="仿宋_GB2312" w:eastAsia="仿宋_GB2312" w:cs="Times New Roman"/>
          <w:sz w:val="32"/>
        </w:rPr>
        <w:t>0.9</w:t>
      </w:r>
      <w:r>
        <w:rPr>
          <w:rFonts w:hint="eastAsia" w:ascii="仿宋_GB2312" w:hAnsi="仿宋_GB2312" w:eastAsia="仿宋_GB2312" w:cs="Times New Roman"/>
          <w:sz w:val="32"/>
        </w:rPr>
        <w:t>5</w:t>
      </w:r>
      <w:r>
        <w:rPr>
          <w:rFonts w:ascii="仿宋_GB2312" w:hAnsi="仿宋_GB2312" w:eastAsia="仿宋_GB2312" w:cs="Times New Roman"/>
          <w:sz w:val="32"/>
        </w:rPr>
        <w:t>，信度较高。</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（二）效度分析</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效度（</w:t>
      </w:r>
      <w:r>
        <w:rPr>
          <w:rFonts w:ascii="仿宋_GB2312" w:hAnsi="仿宋_GB2312" w:eastAsia="仿宋_GB2312" w:cs="Times New Roman"/>
          <w:sz w:val="32"/>
        </w:rPr>
        <w:t>Validity）用于评价量表的准确度、有效性和正确性，即检验问卷是否能简洁、准确地描述抽样数据的属性和特征以及它们之间的复杂关系。本次问卷调查运用相关系数来估算满意度问题的效度。其计算公式为：</w:t>
      </w:r>
    </w:p>
    <w:p>
      <w:pPr>
        <w:rPr>
          <w:rFonts w:ascii="等线" w:hAnsi="等线" w:eastAsia="等线" w:cs="Times New Roman"/>
        </w:rPr>
      </w:pP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其中，</w:t>
      </w:r>
      <w:r>
        <w:rPr>
          <w:rFonts w:ascii="仿宋_GB2312" w:hAnsi="仿宋_GB2312" w:eastAsia="仿宋_GB2312" w:cs="Times New Roman"/>
          <w:sz w:val="32"/>
        </w:rPr>
        <w:t>，表示题目得分偏差；，表示问卷得分偏差。</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通常，相关系数的值介于</w:t>
      </w:r>
      <w:r>
        <w:rPr>
          <w:rFonts w:ascii="仿宋_GB2312" w:hAnsi="仿宋_GB2312" w:eastAsia="仿宋_GB2312" w:cs="Times New Roman"/>
          <w:sz w:val="32"/>
        </w:rPr>
        <w:t>与之间。即。其中，表示两变量正相关；表示两变量负相关； 表示两变量间不存在线性相关关系；表示两变量为完全线性相关；表示两变量存在一定程度的线性相关，其中为微弱相关，为低度相关，为显著相关，为高度相关。</w:t>
      </w:r>
    </w:p>
    <w:p>
      <w:pPr>
        <w:pStyle w:val="19"/>
      </w:pPr>
      <w:r>
        <w:rPr>
          <w:rFonts w:hint="eastAsia"/>
        </w:rPr>
        <w:t>调查数据计算结果表明，此次问卷效度较高，因此能够很好地反映的满意程度，有关问卷效度请见附表</w:t>
      </w:r>
      <w:r>
        <w:t>1。</w:t>
      </w:r>
    </w:p>
    <w:p>
      <w:pPr>
        <w:pStyle w:val="37"/>
      </w:pPr>
      <w:r>
        <w:rPr>
          <w:rFonts w:hint="eastAsia"/>
        </w:rPr>
        <w:t>附表</w:t>
      </w:r>
      <w:r>
        <w:t>1 甘肃省人民代表大会常务委员会部门职工满意度调查问卷效度汇总</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37"/>
              <w:rPr>
                <w:b/>
                <w:bCs/>
              </w:rPr>
            </w:pPr>
            <w:r>
              <w:rPr>
                <w:rFonts w:hint="eastAsia"/>
                <w:b/>
                <w:bCs/>
              </w:rPr>
              <w:t>题目</w:t>
            </w:r>
          </w:p>
        </w:tc>
        <w:tc>
          <w:tcPr>
            <w:tcW w:w="2631" w:type="dxa"/>
          </w:tcPr>
          <w:p>
            <w:pPr>
              <w:pStyle w:val="37"/>
              <w:rPr>
                <w:b/>
                <w:bCs/>
              </w:rPr>
            </w:pPr>
            <w:r>
              <w:rPr>
                <w:b/>
                <w:bCs/>
              </w:rPr>
              <w:t>效度得分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37"/>
            </w:pPr>
            <w:r>
              <w:rPr>
                <w:rFonts w:hint="eastAsia"/>
              </w:rPr>
              <w:t>您对部门岗位职责与权力划分的评价</w:t>
            </w:r>
          </w:p>
        </w:tc>
        <w:tc>
          <w:tcPr>
            <w:tcW w:w="2631" w:type="dxa"/>
          </w:tcPr>
          <w:p>
            <w:pPr>
              <w:pStyle w:val="37"/>
            </w:pPr>
            <w: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37"/>
            </w:pPr>
            <w:r>
              <w:rPr>
                <w:rFonts w:hint="eastAsia"/>
              </w:rPr>
              <w:t>您对目前的薪资水平收入的评价</w:t>
            </w:r>
          </w:p>
        </w:tc>
        <w:tc>
          <w:tcPr>
            <w:tcW w:w="2631" w:type="dxa"/>
          </w:tcPr>
          <w:p>
            <w:pPr>
              <w:pStyle w:val="37"/>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37"/>
            </w:pPr>
            <w:r>
              <w:rPr>
                <w:rFonts w:hint="eastAsia"/>
              </w:rPr>
              <w:t>你对部门在用人制度、职责分工合理性方面的评价</w:t>
            </w:r>
          </w:p>
        </w:tc>
        <w:tc>
          <w:tcPr>
            <w:tcW w:w="2631" w:type="dxa"/>
          </w:tcPr>
          <w:p>
            <w:pPr>
              <w:pStyle w:val="37"/>
            </w:pPr>
            <w: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37"/>
            </w:pPr>
            <w:r>
              <w:rPr>
                <w:rFonts w:hint="eastAsia"/>
              </w:rPr>
              <w:t>您对部门目前的考核制度合理性的评价</w:t>
            </w:r>
          </w:p>
        </w:tc>
        <w:tc>
          <w:tcPr>
            <w:tcW w:w="2631" w:type="dxa"/>
          </w:tcPr>
          <w:p>
            <w:pPr>
              <w:pStyle w:val="37"/>
            </w:pPr>
            <w: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37"/>
            </w:pPr>
            <w:r>
              <w:rPr>
                <w:rFonts w:hint="eastAsia"/>
              </w:rPr>
              <w:t>您对部门组织过的业务培训评价</w:t>
            </w:r>
          </w:p>
        </w:tc>
        <w:tc>
          <w:tcPr>
            <w:tcW w:w="2631" w:type="dxa"/>
          </w:tcPr>
          <w:p>
            <w:pPr>
              <w:pStyle w:val="37"/>
            </w:pPr>
            <w:r>
              <w:t>0.87</w:t>
            </w:r>
          </w:p>
        </w:tc>
      </w:tr>
    </w:tbl>
    <w:p>
      <w:pPr>
        <w:pStyle w:val="19"/>
      </w:pPr>
      <w:r>
        <w:rPr>
          <w:rFonts w:hint="eastAsia"/>
        </w:rPr>
        <w:t>六、调查结果分析</w:t>
      </w:r>
    </w:p>
    <w:p>
      <w:pPr>
        <w:pStyle w:val="19"/>
      </w:pPr>
      <w:r>
        <w:rPr>
          <w:rFonts w:hint="eastAsia"/>
        </w:rPr>
        <w:t>（一）基本问题分析</w:t>
      </w:r>
    </w:p>
    <w:p>
      <w:pPr>
        <w:pStyle w:val="19"/>
      </w:pPr>
      <w:r>
        <w:t>1.单选题</w:t>
      </w:r>
    </w:p>
    <w:p>
      <w:pPr>
        <w:pStyle w:val="19"/>
      </w:pPr>
      <w:r>
        <w:t>1)您的性别</w:t>
      </w:r>
    </w:p>
    <w:p>
      <w:pPr>
        <w:pStyle w:val="19"/>
      </w:pPr>
      <w:r>
        <w:rPr>
          <w:rFonts w:hint="eastAsia"/>
        </w:rPr>
        <w:t>在</w:t>
      </w:r>
      <w:r>
        <w:t>28份有效问卷中，被调查对象中选男的比例为75.68%，选女的比例为24.32%。</w:t>
      </w:r>
    </w:p>
    <w:p>
      <w:pPr>
        <w:pStyle w:val="19"/>
      </w:pPr>
      <w:r>
        <w:t>3)</w:t>
      </w:r>
      <w:r>
        <w:tab/>
      </w:r>
      <w:r>
        <w:t>您的年龄</w:t>
      </w:r>
    </w:p>
    <w:p>
      <w:pPr>
        <w:pStyle w:val="19"/>
      </w:pPr>
      <w:r>
        <w:rPr>
          <w:rFonts w:hint="eastAsia"/>
        </w:rPr>
        <w:t>在</w:t>
      </w:r>
      <w:r>
        <w:t>28份有效问卷中，被调查对象中选25岁及以下的比例为15.75%，选26-35岁的比例为52.21%，选36-45岁的比例为20.65%，选46岁及以上的比例为11.39%。</w:t>
      </w:r>
    </w:p>
    <w:p>
      <w:pPr>
        <w:pStyle w:val="19"/>
      </w:pPr>
      <w:r>
        <w:t>4)</w:t>
      </w:r>
      <w:r>
        <w:tab/>
      </w:r>
      <w:r>
        <w:t>您认为部门机构制度及执行状况如何？</w:t>
      </w:r>
    </w:p>
    <w:p>
      <w:pPr>
        <w:pStyle w:val="19"/>
      </w:pPr>
      <w:r>
        <w:rPr>
          <w:rFonts w:hint="eastAsia"/>
        </w:rPr>
        <w:t>在</w:t>
      </w:r>
      <w:r>
        <w:t>28份有效问卷中，被调查对象中选是很好比例为82.56%，选比较好的</w:t>
      </w:r>
      <w:r>
        <w:rPr>
          <w:rFonts w:hint="eastAsia"/>
        </w:rPr>
        <w:t>比例</w:t>
      </w:r>
      <w:r>
        <w:t>为12.15%，选一般的比例为5.29%。</w:t>
      </w:r>
    </w:p>
    <w:p>
      <w:pPr>
        <w:pStyle w:val="19"/>
      </w:pPr>
      <w:r>
        <w:t>5)</w:t>
      </w:r>
      <w:r>
        <w:tab/>
      </w:r>
      <w:r>
        <w:t>您对现在从事工作的适应程度？</w:t>
      </w:r>
    </w:p>
    <w:p>
      <w:pPr>
        <w:pStyle w:val="19"/>
      </w:pPr>
      <w:r>
        <w:rPr>
          <w:rFonts w:hint="eastAsia"/>
        </w:rPr>
        <w:t>在</w:t>
      </w:r>
      <w:r>
        <w:t>28份有效问卷中，被调查对象中选适应的比例为89.12%，选比较适应的比例为6.76%，选不适应比例为4.12%。</w:t>
      </w:r>
    </w:p>
    <w:p>
      <w:pPr>
        <w:pStyle w:val="19"/>
      </w:pPr>
      <w:r>
        <w:t>6)</w:t>
      </w:r>
      <w:r>
        <w:tab/>
      </w:r>
      <w:r>
        <w:t>您是否参加过部门培训？</w:t>
      </w:r>
    </w:p>
    <w:p>
      <w:pPr>
        <w:pStyle w:val="19"/>
      </w:pPr>
      <w:r>
        <w:rPr>
          <w:rFonts w:hint="eastAsia"/>
        </w:rPr>
        <w:t>在</w:t>
      </w:r>
      <w:r>
        <w:t>28份有效问卷中，被调查对象中选是的比例为95.50%，选否的比例为4.50%。</w:t>
      </w:r>
    </w:p>
    <w:p>
      <w:pPr>
        <w:pStyle w:val="19"/>
      </w:pPr>
      <w:r>
        <w:t>7)</w:t>
      </w:r>
      <w:r>
        <w:tab/>
      </w:r>
      <w:r>
        <w:t>您的部门是否对您的岗位工作进行考核？</w:t>
      </w:r>
    </w:p>
    <w:p>
      <w:pPr>
        <w:pStyle w:val="19"/>
      </w:pPr>
      <w:r>
        <w:rPr>
          <w:rFonts w:hint="eastAsia"/>
        </w:rPr>
        <w:t>在</w:t>
      </w:r>
      <w:r>
        <w:t>28份有效问卷中，被调查对象中选是的比例为93.20%，选否的比例为6.80%。</w:t>
      </w:r>
    </w:p>
    <w:p>
      <w:pPr>
        <w:pStyle w:val="19"/>
      </w:pPr>
      <w:r>
        <w:t>8)</w:t>
      </w:r>
      <w:r>
        <w:tab/>
      </w:r>
      <w:r>
        <w:t>您认为部门整体工作执行力是否合理？</w:t>
      </w:r>
    </w:p>
    <w:p>
      <w:pPr>
        <w:pStyle w:val="19"/>
      </w:pPr>
      <w:r>
        <w:rPr>
          <w:rFonts w:hint="eastAsia"/>
        </w:rPr>
        <w:t>在</w:t>
      </w:r>
      <w:r>
        <w:t>28份有效问卷中，被调查对象中选是的比例为92.55%，选否的比例为7.45%。</w:t>
      </w:r>
    </w:p>
    <w:p>
      <w:pPr>
        <w:pStyle w:val="19"/>
      </w:pPr>
      <w:r>
        <w:t>9)</w:t>
      </w:r>
      <w:r>
        <w:tab/>
      </w:r>
      <w:r>
        <w:t>您认为部门之间的配合协调情况是否合理？</w:t>
      </w:r>
    </w:p>
    <w:p>
      <w:pPr>
        <w:pStyle w:val="19"/>
      </w:pPr>
      <w:r>
        <w:rPr>
          <w:rFonts w:hint="eastAsia"/>
        </w:rPr>
        <w:t>在</w:t>
      </w:r>
      <w:r>
        <w:t>28份有效问卷中，被调查对象中选是的比例为91.23%，选否的比例为8.77%。</w:t>
      </w:r>
    </w:p>
    <w:p>
      <w:pPr>
        <w:pStyle w:val="19"/>
      </w:pPr>
      <w:r>
        <w:t>2.满意度题</w:t>
      </w:r>
    </w:p>
    <w:p>
      <w:pPr>
        <w:pStyle w:val="19"/>
      </w:pPr>
      <w:r>
        <w:rPr>
          <w:rFonts w:hint="eastAsia"/>
        </w:rPr>
        <w:t>根据问卷调查结果显示，受益对象的整体满意程度为</w:t>
      </w:r>
      <w:r>
        <w:t>92.15%，满意度水平较高。</w:t>
      </w:r>
    </w:p>
    <w:p>
      <w:pPr>
        <w:pStyle w:val="19"/>
      </w:pPr>
      <w:r>
        <w:rPr>
          <w:rFonts w:hint="eastAsia"/>
        </w:rPr>
        <w:t>调查对象对问题按照满意度评分由高到低排序依次为：您对部门目前的制度建设合理性的评价</w:t>
      </w:r>
      <w:r>
        <w:t>(98%)、你对部门在工作得到公平公正方面的评价(96.25%)、您对目前福利待遇满意度的评价(95%)、您对部门组织过的业务培训评价(87.20%)、您对目前的各项工作分配合理性的评价(85.13%)。</w:t>
      </w:r>
    </w:p>
    <w:p>
      <w:pPr>
        <w:pStyle w:val="19"/>
      </w:pPr>
      <w:r>
        <w:t>3.意见与建议</w:t>
      </w:r>
    </w:p>
    <w:p>
      <w:pPr>
        <w:pStyle w:val="19"/>
      </w:pPr>
      <w:r>
        <w:rPr>
          <w:rFonts w:hint="eastAsia"/>
        </w:rPr>
        <w:t>无</w:t>
      </w:r>
      <w:bookmarkEnd w:id="78"/>
    </w:p>
    <w:sectPr>
      <w:pgSz w:w="11906" w:h="16838"/>
      <w:pgMar w:top="1440" w:right="1797" w:bottom="1440" w:left="1797"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汉仪程行简">
    <w:altName w:val="宋体"/>
    <w:panose1 w:val="00020600040101010101"/>
    <w:charset w:val="86"/>
    <w:family w:val="auto"/>
    <w:pitch w:val="default"/>
    <w:sig w:usb0="00000000" w:usb1="00000000" w:usb2="00000016" w:usb3="00000000" w:csb0="0004009F" w:csb1="DFD70000"/>
  </w:font>
  <w:font w:name="方正准圆_GBK">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悠黑简体_501L">
    <w:altName w:val="黑体"/>
    <w:panose1 w:val="02000000000000000000"/>
    <w:charset w:val="86"/>
    <w:family w:val="auto"/>
    <w:pitch w:val="default"/>
    <w:sig w:usb0="00000000" w:usb1="00000000" w:usb2="00000016" w:usb3="00000000" w:csb0="00040001" w:csb1="00000000"/>
  </w:font>
  <w:font w:name="方正悠黑_509R">
    <w:altName w:val="黑体"/>
    <w:panose1 w:val="02000000000000000000"/>
    <w:charset w:val="86"/>
    <w:family w:val="auto"/>
    <w:pitch w:val="default"/>
    <w:sig w:usb0="00000000" w:usb1="00000000"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黑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114457"/>
    </w:sdtPr>
    <w:sdtEndPr>
      <w:rPr>
        <w:rFonts w:ascii="宋体" w:hAnsi="宋体" w:eastAsia="宋体"/>
        <w:sz w:val="28"/>
        <w:szCs w:val="28"/>
      </w:rPr>
    </w:sdtEndPr>
    <w:sdtContent>
      <w:p>
        <w:pPr>
          <w:pStyle w:val="9"/>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36142"/>
    </w:sdtPr>
    <w:sdtContent>
      <w:p>
        <w:pPr>
          <w:pStyle w:val="9"/>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68536052">
    <w:nsid w:val="4B9C52F4"/>
    <w:multiLevelType w:val="multilevel"/>
    <w:tmpl w:val="4B9C52F4"/>
    <w:lvl w:ilvl="0" w:tentative="1">
      <w:start w:val="1"/>
      <w:numFmt w:val="chineseCountingThousand"/>
      <w:pStyle w:val="21"/>
      <w:lvlText w:val="%1、"/>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1">
      <w:start w:val="1"/>
      <w:numFmt w:val="chineseCountingThousand"/>
      <w:pStyle w:val="24"/>
      <w:lvlText w:val="（%2）"/>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1">
      <w:start w:val="1"/>
      <w:numFmt w:val="decimal"/>
      <w:pStyle w:val="25"/>
      <w:lvlText w:val="%3."/>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1">
      <w:start w:val="1"/>
      <w:numFmt w:val="decimal"/>
      <w:pStyle w:val="27"/>
      <w:lvlText w:val="（%4）"/>
      <w:lvlJc w:val="left"/>
      <w:pPr>
        <w:ind w:left="284" w:firstLine="283"/>
      </w:pPr>
      <w:rPr>
        <w:rFonts w:hint="default" w:ascii="Times New Roman" w:hAnsi="Times New Roman" w:eastAsia="仿宋_GB2312"/>
        <w:b w:val="0"/>
        <w:i w:val="0"/>
        <w:sz w:val="32"/>
      </w:rPr>
    </w:lvl>
    <w:lvl w:ilvl="4" w:tentative="1">
      <w:start w:val="1"/>
      <w:numFmt w:val="decimal"/>
      <w:lvlText w:val="%1.%2.%3.%4.%5"/>
      <w:lvlJc w:val="left"/>
      <w:pPr>
        <w:ind w:left="-284" w:firstLine="425"/>
      </w:pPr>
      <w:rPr>
        <w:rFonts w:hint="eastAsia"/>
      </w:rPr>
    </w:lvl>
    <w:lvl w:ilvl="5" w:tentative="1">
      <w:start w:val="1"/>
      <w:numFmt w:val="decimal"/>
      <w:lvlText w:val="%1.%2.%3.%4.%5.%6"/>
      <w:lvlJc w:val="left"/>
      <w:pPr>
        <w:ind w:left="-426" w:firstLine="425"/>
      </w:pPr>
      <w:rPr>
        <w:rFonts w:hint="eastAsia"/>
      </w:rPr>
    </w:lvl>
    <w:lvl w:ilvl="6" w:tentative="1">
      <w:start w:val="1"/>
      <w:numFmt w:val="decimal"/>
      <w:lvlText w:val="%1.%2.%3.%4.%5.%6.%7"/>
      <w:lvlJc w:val="left"/>
      <w:pPr>
        <w:ind w:left="-568" w:firstLine="425"/>
      </w:pPr>
      <w:rPr>
        <w:rFonts w:hint="eastAsia"/>
      </w:rPr>
    </w:lvl>
    <w:lvl w:ilvl="7" w:tentative="1">
      <w:start w:val="1"/>
      <w:numFmt w:val="decimal"/>
      <w:lvlText w:val="%1.%2.%3.%4.%5.%6.%7.%8"/>
      <w:lvlJc w:val="left"/>
      <w:pPr>
        <w:ind w:left="-710" w:firstLine="425"/>
      </w:pPr>
      <w:rPr>
        <w:rFonts w:hint="eastAsia"/>
      </w:rPr>
    </w:lvl>
    <w:lvl w:ilvl="8" w:tentative="1">
      <w:start w:val="1"/>
      <w:numFmt w:val="decimal"/>
      <w:lvlText w:val="%1.%2.%3.%4.%5.%6.%7.%8.%9"/>
      <w:lvlJc w:val="left"/>
      <w:pPr>
        <w:ind w:left="-852" w:firstLine="425"/>
      </w:pPr>
      <w:rPr>
        <w:rFonts w:hint="eastAsia"/>
      </w:rPr>
    </w:lvl>
  </w:abstractNum>
  <w:num w:numId="1">
    <w:abstractNumId w:val="1268536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4F"/>
    <w:rsid w:val="000024BB"/>
    <w:rsid w:val="00005D6C"/>
    <w:rsid w:val="000125AD"/>
    <w:rsid w:val="00023BF2"/>
    <w:rsid w:val="00024BAB"/>
    <w:rsid w:val="00033482"/>
    <w:rsid w:val="00034683"/>
    <w:rsid w:val="00036A4D"/>
    <w:rsid w:val="00042975"/>
    <w:rsid w:val="000519AB"/>
    <w:rsid w:val="00060613"/>
    <w:rsid w:val="0007027D"/>
    <w:rsid w:val="00086052"/>
    <w:rsid w:val="000864D1"/>
    <w:rsid w:val="000867B6"/>
    <w:rsid w:val="00090985"/>
    <w:rsid w:val="00096BCA"/>
    <w:rsid w:val="000B1033"/>
    <w:rsid w:val="000B767D"/>
    <w:rsid w:val="000C29E6"/>
    <w:rsid w:val="000C6F68"/>
    <w:rsid w:val="000C76B0"/>
    <w:rsid w:val="000C7A48"/>
    <w:rsid w:val="000D63F0"/>
    <w:rsid w:val="000E373D"/>
    <w:rsid w:val="000E63A1"/>
    <w:rsid w:val="000F25D0"/>
    <w:rsid w:val="0010095C"/>
    <w:rsid w:val="00114EFE"/>
    <w:rsid w:val="001170AC"/>
    <w:rsid w:val="0012164A"/>
    <w:rsid w:val="00122CFD"/>
    <w:rsid w:val="00124930"/>
    <w:rsid w:val="001256DE"/>
    <w:rsid w:val="00130545"/>
    <w:rsid w:val="00133107"/>
    <w:rsid w:val="00140D78"/>
    <w:rsid w:val="0014400F"/>
    <w:rsid w:val="001446AE"/>
    <w:rsid w:val="001454A7"/>
    <w:rsid w:val="00146B7E"/>
    <w:rsid w:val="001478DB"/>
    <w:rsid w:val="00153220"/>
    <w:rsid w:val="00154F15"/>
    <w:rsid w:val="001608BE"/>
    <w:rsid w:val="00162B39"/>
    <w:rsid w:val="00171300"/>
    <w:rsid w:val="00171745"/>
    <w:rsid w:val="00171F4C"/>
    <w:rsid w:val="001809AB"/>
    <w:rsid w:val="00183523"/>
    <w:rsid w:val="001841ED"/>
    <w:rsid w:val="00185847"/>
    <w:rsid w:val="001A0E87"/>
    <w:rsid w:val="001A277A"/>
    <w:rsid w:val="001B3E6C"/>
    <w:rsid w:val="001B41D4"/>
    <w:rsid w:val="001B45DD"/>
    <w:rsid w:val="001B7548"/>
    <w:rsid w:val="001B7D2D"/>
    <w:rsid w:val="001E0D2A"/>
    <w:rsid w:val="001E1F46"/>
    <w:rsid w:val="001E6F33"/>
    <w:rsid w:val="001E7EAF"/>
    <w:rsid w:val="001F2434"/>
    <w:rsid w:val="001F6BC7"/>
    <w:rsid w:val="002129A8"/>
    <w:rsid w:val="0021362F"/>
    <w:rsid w:val="002151F0"/>
    <w:rsid w:val="002226A1"/>
    <w:rsid w:val="00223069"/>
    <w:rsid w:val="0023077F"/>
    <w:rsid w:val="00231DE5"/>
    <w:rsid w:val="00243D69"/>
    <w:rsid w:val="00244E12"/>
    <w:rsid w:val="00245F9F"/>
    <w:rsid w:val="002540D7"/>
    <w:rsid w:val="00270459"/>
    <w:rsid w:val="00274DA0"/>
    <w:rsid w:val="002801C2"/>
    <w:rsid w:val="002812A8"/>
    <w:rsid w:val="0028545B"/>
    <w:rsid w:val="00291CDB"/>
    <w:rsid w:val="00293A8F"/>
    <w:rsid w:val="002953DE"/>
    <w:rsid w:val="002A0753"/>
    <w:rsid w:val="002A1F71"/>
    <w:rsid w:val="002A2CB4"/>
    <w:rsid w:val="002A4F72"/>
    <w:rsid w:val="002A6455"/>
    <w:rsid w:val="002B02D2"/>
    <w:rsid w:val="002B21CB"/>
    <w:rsid w:val="002B3BD9"/>
    <w:rsid w:val="002B41A0"/>
    <w:rsid w:val="002B57C4"/>
    <w:rsid w:val="002C346C"/>
    <w:rsid w:val="002D1B56"/>
    <w:rsid w:val="002F065A"/>
    <w:rsid w:val="002F211F"/>
    <w:rsid w:val="002F3FAF"/>
    <w:rsid w:val="002F6E16"/>
    <w:rsid w:val="00300CE6"/>
    <w:rsid w:val="00301A77"/>
    <w:rsid w:val="00311D26"/>
    <w:rsid w:val="003145B6"/>
    <w:rsid w:val="003163E5"/>
    <w:rsid w:val="00324ED8"/>
    <w:rsid w:val="00330537"/>
    <w:rsid w:val="003350A6"/>
    <w:rsid w:val="00335EE6"/>
    <w:rsid w:val="003377D1"/>
    <w:rsid w:val="0033780B"/>
    <w:rsid w:val="0034071A"/>
    <w:rsid w:val="00345529"/>
    <w:rsid w:val="00347F05"/>
    <w:rsid w:val="0037302B"/>
    <w:rsid w:val="00373ECC"/>
    <w:rsid w:val="003815B4"/>
    <w:rsid w:val="003A0F71"/>
    <w:rsid w:val="003A1C84"/>
    <w:rsid w:val="003B2060"/>
    <w:rsid w:val="003B5293"/>
    <w:rsid w:val="003C53CD"/>
    <w:rsid w:val="003C6BB3"/>
    <w:rsid w:val="003C7693"/>
    <w:rsid w:val="003D5567"/>
    <w:rsid w:val="003D6F32"/>
    <w:rsid w:val="003F02BC"/>
    <w:rsid w:val="003F567C"/>
    <w:rsid w:val="003F6B74"/>
    <w:rsid w:val="004177FB"/>
    <w:rsid w:val="00422213"/>
    <w:rsid w:val="00426D19"/>
    <w:rsid w:val="004315D9"/>
    <w:rsid w:val="0043404C"/>
    <w:rsid w:val="004352EC"/>
    <w:rsid w:val="00441A94"/>
    <w:rsid w:val="00452A9A"/>
    <w:rsid w:val="004542F2"/>
    <w:rsid w:val="00462A2D"/>
    <w:rsid w:val="00462AC0"/>
    <w:rsid w:val="004670AC"/>
    <w:rsid w:val="00470DA7"/>
    <w:rsid w:val="00476080"/>
    <w:rsid w:val="00483E55"/>
    <w:rsid w:val="00486C58"/>
    <w:rsid w:val="004916BE"/>
    <w:rsid w:val="004A3AF5"/>
    <w:rsid w:val="004B4D66"/>
    <w:rsid w:val="004C5588"/>
    <w:rsid w:val="004D049E"/>
    <w:rsid w:val="004D6DBC"/>
    <w:rsid w:val="004F0A16"/>
    <w:rsid w:val="004F32B4"/>
    <w:rsid w:val="00501BD8"/>
    <w:rsid w:val="005041DE"/>
    <w:rsid w:val="0050725D"/>
    <w:rsid w:val="005156B9"/>
    <w:rsid w:val="00515AA5"/>
    <w:rsid w:val="00536824"/>
    <w:rsid w:val="005377D4"/>
    <w:rsid w:val="00551738"/>
    <w:rsid w:val="00563D14"/>
    <w:rsid w:val="00570880"/>
    <w:rsid w:val="00591525"/>
    <w:rsid w:val="00593243"/>
    <w:rsid w:val="005A6E93"/>
    <w:rsid w:val="005A7C63"/>
    <w:rsid w:val="005B2CA8"/>
    <w:rsid w:val="005B6D02"/>
    <w:rsid w:val="005B73EF"/>
    <w:rsid w:val="005C6027"/>
    <w:rsid w:val="005C73C1"/>
    <w:rsid w:val="005D138E"/>
    <w:rsid w:val="005D6D3A"/>
    <w:rsid w:val="005E5DC8"/>
    <w:rsid w:val="005F08C1"/>
    <w:rsid w:val="00601EF2"/>
    <w:rsid w:val="00602A48"/>
    <w:rsid w:val="0060748C"/>
    <w:rsid w:val="00620B83"/>
    <w:rsid w:val="00622D58"/>
    <w:rsid w:val="00626F6A"/>
    <w:rsid w:val="0062775C"/>
    <w:rsid w:val="006312B0"/>
    <w:rsid w:val="00643B00"/>
    <w:rsid w:val="00644DA2"/>
    <w:rsid w:val="006535CD"/>
    <w:rsid w:val="006620A3"/>
    <w:rsid w:val="00665B40"/>
    <w:rsid w:val="00667D14"/>
    <w:rsid w:val="00673496"/>
    <w:rsid w:val="00673A85"/>
    <w:rsid w:val="00697951"/>
    <w:rsid w:val="006A0F6B"/>
    <w:rsid w:val="006A2B4E"/>
    <w:rsid w:val="006A60AC"/>
    <w:rsid w:val="006B1117"/>
    <w:rsid w:val="006B611F"/>
    <w:rsid w:val="006D1421"/>
    <w:rsid w:val="006D3A6A"/>
    <w:rsid w:val="006E0B38"/>
    <w:rsid w:val="006E229E"/>
    <w:rsid w:val="006F05F0"/>
    <w:rsid w:val="006F13F5"/>
    <w:rsid w:val="006F224C"/>
    <w:rsid w:val="006F4B11"/>
    <w:rsid w:val="006F4ED7"/>
    <w:rsid w:val="00705A3D"/>
    <w:rsid w:val="00705C59"/>
    <w:rsid w:val="00705D9D"/>
    <w:rsid w:val="00712A90"/>
    <w:rsid w:val="00714600"/>
    <w:rsid w:val="00722E25"/>
    <w:rsid w:val="007244C1"/>
    <w:rsid w:val="00733714"/>
    <w:rsid w:val="00735B33"/>
    <w:rsid w:val="00735EA5"/>
    <w:rsid w:val="00740E1F"/>
    <w:rsid w:val="00741CA6"/>
    <w:rsid w:val="00742382"/>
    <w:rsid w:val="00745FA4"/>
    <w:rsid w:val="00751733"/>
    <w:rsid w:val="00760ADA"/>
    <w:rsid w:val="0076318D"/>
    <w:rsid w:val="00776584"/>
    <w:rsid w:val="00781FDF"/>
    <w:rsid w:val="007828E6"/>
    <w:rsid w:val="007833B6"/>
    <w:rsid w:val="0078360D"/>
    <w:rsid w:val="00785061"/>
    <w:rsid w:val="00796449"/>
    <w:rsid w:val="00796E2C"/>
    <w:rsid w:val="007970E1"/>
    <w:rsid w:val="007A3A56"/>
    <w:rsid w:val="007B7844"/>
    <w:rsid w:val="007C1499"/>
    <w:rsid w:val="007D1EC2"/>
    <w:rsid w:val="007D752C"/>
    <w:rsid w:val="007D7552"/>
    <w:rsid w:val="007D7F39"/>
    <w:rsid w:val="007E0520"/>
    <w:rsid w:val="007E5F17"/>
    <w:rsid w:val="007E724E"/>
    <w:rsid w:val="007F1551"/>
    <w:rsid w:val="007F201B"/>
    <w:rsid w:val="007F7CEB"/>
    <w:rsid w:val="00805F33"/>
    <w:rsid w:val="00807AEA"/>
    <w:rsid w:val="00810A3D"/>
    <w:rsid w:val="00813E7F"/>
    <w:rsid w:val="00813F3B"/>
    <w:rsid w:val="00820A21"/>
    <w:rsid w:val="00821D4E"/>
    <w:rsid w:val="00823AB6"/>
    <w:rsid w:val="00824354"/>
    <w:rsid w:val="00826808"/>
    <w:rsid w:val="00837E66"/>
    <w:rsid w:val="008425B0"/>
    <w:rsid w:val="00844403"/>
    <w:rsid w:val="008513E6"/>
    <w:rsid w:val="00851B05"/>
    <w:rsid w:val="00856DCB"/>
    <w:rsid w:val="00861A7B"/>
    <w:rsid w:val="00865378"/>
    <w:rsid w:val="00873D0E"/>
    <w:rsid w:val="00874E93"/>
    <w:rsid w:val="00890EBA"/>
    <w:rsid w:val="00894A02"/>
    <w:rsid w:val="008B1906"/>
    <w:rsid w:val="008B54F0"/>
    <w:rsid w:val="008C23D0"/>
    <w:rsid w:val="008E33C0"/>
    <w:rsid w:val="008E3443"/>
    <w:rsid w:val="008E529A"/>
    <w:rsid w:val="008F5A09"/>
    <w:rsid w:val="008F776A"/>
    <w:rsid w:val="009003C5"/>
    <w:rsid w:val="00902D65"/>
    <w:rsid w:val="00903683"/>
    <w:rsid w:val="009040A1"/>
    <w:rsid w:val="00904FE6"/>
    <w:rsid w:val="00920344"/>
    <w:rsid w:val="00922C3F"/>
    <w:rsid w:val="00926B32"/>
    <w:rsid w:val="00932A1D"/>
    <w:rsid w:val="00935D1E"/>
    <w:rsid w:val="00940BB8"/>
    <w:rsid w:val="00947B2F"/>
    <w:rsid w:val="00951424"/>
    <w:rsid w:val="00954DCB"/>
    <w:rsid w:val="009563B7"/>
    <w:rsid w:val="009744C6"/>
    <w:rsid w:val="00975773"/>
    <w:rsid w:val="00975F3D"/>
    <w:rsid w:val="009803C8"/>
    <w:rsid w:val="0098555E"/>
    <w:rsid w:val="00985D30"/>
    <w:rsid w:val="00991988"/>
    <w:rsid w:val="00994054"/>
    <w:rsid w:val="00995073"/>
    <w:rsid w:val="009C2712"/>
    <w:rsid w:val="009D6589"/>
    <w:rsid w:val="009E5562"/>
    <w:rsid w:val="009F1DF7"/>
    <w:rsid w:val="009F77DC"/>
    <w:rsid w:val="00A000B4"/>
    <w:rsid w:val="00A017E8"/>
    <w:rsid w:val="00A04306"/>
    <w:rsid w:val="00A174A6"/>
    <w:rsid w:val="00A307CF"/>
    <w:rsid w:val="00A34D32"/>
    <w:rsid w:val="00A50A7C"/>
    <w:rsid w:val="00A63888"/>
    <w:rsid w:val="00A6648B"/>
    <w:rsid w:val="00A71319"/>
    <w:rsid w:val="00A8264F"/>
    <w:rsid w:val="00A85E8D"/>
    <w:rsid w:val="00A9098A"/>
    <w:rsid w:val="00A93577"/>
    <w:rsid w:val="00A94947"/>
    <w:rsid w:val="00A96563"/>
    <w:rsid w:val="00AA07EE"/>
    <w:rsid w:val="00AA59FB"/>
    <w:rsid w:val="00AC1EDB"/>
    <w:rsid w:val="00AC7B63"/>
    <w:rsid w:val="00AD04BB"/>
    <w:rsid w:val="00AD5CDE"/>
    <w:rsid w:val="00AE24F0"/>
    <w:rsid w:val="00AE6AA9"/>
    <w:rsid w:val="00AF1334"/>
    <w:rsid w:val="00B03ADD"/>
    <w:rsid w:val="00B0619D"/>
    <w:rsid w:val="00B11D10"/>
    <w:rsid w:val="00B13936"/>
    <w:rsid w:val="00B13960"/>
    <w:rsid w:val="00B165CC"/>
    <w:rsid w:val="00B168CB"/>
    <w:rsid w:val="00B206A8"/>
    <w:rsid w:val="00B31ABB"/>
    <w:rsid w:val="00B322A0"/>
    <w:rsid w:val="00B36299"/>
    <w:rsid w:val="00B4220A"/>
    <w:rsid w:val="00B42304"/>
    <w:rsid w:val="00B55AEF"/>
    <w:rsid w:val="00B55C0C"/>
    <w:rsid w:val="00B67381"/>
    <w:rsid w:val="00B67ED5"/>
    <w:rsid w:val="00B74ABF"/>
    <w:rsid w:val="00B850DA"/>
    <w:rsid w:val="00B87F31"/>
    <w:rsid w:val="00B9293D"/>
    <w:rsid w:val="00B9349B"/>
    <w:rsid w:val="00B95C90"/>
    <w:rsid w:val="00B969B0"/>
    <w:rsid w:val="00BA054D"/>
    <w:rsid w:val="00BD0351"/>
    <w:rsid w:val="00BE7CDB"/>
    <w:rsid w:val="00BF2126"/>
    <w:rsid w:val="00C01EE9"/>
    <w:rsid w:val="00C15A0B"/>
    <w:rsid w:val="00C33B31"/>
    <w:rsid w:val="00C410B2"/>
    <w:rsid w:val="00C46967"/>
    <w:rsid w:val="00C501CC"/>
    <w:rsid w:val="00C50675"/>
    <w:rsid w:val="00C575A6"/>
    <w:rsid w:val="00C672DC"/>
    <w:rsid w:val="00C730F3"/>
    <w:rsid w:val="00C84233"/>
    <w:rsid w:val="00C85444"/>
    <w:rsid w:val="00CA17AD"/>
    <w:rsid w:val="00CA2599"/>
    <w:rsid w:val="00CA2B7A"/>
    <w:rsid w:val="00CA31C3"/>
    <w:rsid w:val="00CA5B5D"/>
    <w:rsid w:val="00CB1A23"/>
    <w:rsid w:val="00CC4FB7"/>
    <w:rsid w:val="00CC6FAC"/>
    <w:rsid w:val="00CD16F9"/>
    <w:rsid w:val="00CE670B"/>
    <w:rsid w:val="00CF1D95"/>
    <w:rsid w:val="00CF4B0D"/>
    <w:rsid w:val="00D0233E"/>
    <w:rsid w:val="00D03A23"/>
    <w:rsid w:val="00D0696A"/>
    <w:rsid w:val="00D13F98"/>
    <w:rsid w:val="00D501D8"/>
    <w:rsid w:val="00D53A11"/>
    <w:rsid w:val="00D5420C"/>
    <w:rsid w:val="00D72697"/>
    <w:rsid w:val="00D84FC9"/>
    <w:rsid w:val="00D9178E"/>
    <w:rsid w:val="00D9257E"/>
    <w:rsid w:val="00D9377B"/>
    <w:rsid w:val="00D95B47"/>
    <w:rsid w:val="00DA407A"/>
    <w:rsid w:val="00DA4172"/>
    <w:rsid w:val="00DA6E1A"/>
    <w:rsid w:val="00DA7F00"/>
    <w:rsid w:val="00DB195A"/>
    <w:rsid w:val="00DC2C15"/>
    <w:rsid w:val="00DF20F9"/>
    <w:rsid w:val="00E05BE7"/>
    <w:rsid w:val="00E1365E"/>
    <w:rsid w:val="00E368F0"/>
    <w:rsid w:val="00E37CC0"/>
    <w:rsid w:val="00E505E8"/>
    <w:rsid w:val="00E51D3B"/>
    <w:rsid w:val="00E60B70"/>
    <w:rsid w:val="00E6289F"/>
    <w:rsid w:val="00E849C4"/>
    <w:rsid w:val="00EA0CAA"/>
    <w:rsid w:val="00EA7574"/>
    <w:rsid w:val="00EC0EF2"/>
    <w:rsid w:val="00EC4B55"/>
    <w:rsid w:val="00EE062F"/>
    <w:rsid w:val="00EF6EE4"/>
    <w:rsid w:val="00F01686"/>
    <w:rsid w:val="00F0172C"/>
    <w:rsid w:val="00F035FB"/>
    <w:rsid w:val="00F06C60"/>
    <w:rsid w:val="00F101EF"/>
    <w:rsid w:val="00F17C90"/>
    <w:rsid w:val="00F236F5"/>
    <w:rsid w:val="00F26650"/>
    <w:rsid w:val="00F32AB0"/>
    <w:rsid w:val="00F5175B"/>
    <w:rsid w:val="00F57B9D"/>
    <w:rsid w:val="00F60996"/>
    <w:rsid w:val="00F61ECC"/>
    <w:rsid w:val="00F666BF"/>
    <w:rsid w:val="00F7616D"/>
    <w:rsid w:val="00F8157A"/>
    <w:rsid w:val="00F82834"/>
    <w:rsid w:val="00F83BF4"/>
    <w:rsid w:val="00F84C6A"/>
    <w:rsid w:val="00F857DD"/>
    <w:rsid w:val="00F951B0"/>
    <w:rsid w:val="00FB5DE5"/>
    <w:rsid w:val="00FC0C4F"/>
    <w:rsid w:val="00FD6826"/>
    <w:rsid w:val="00FE134F"/>
    <w:rsid w:val="00FF3C8F"/>
    <w:rsid w:val="00FF7EDC"/>
    <w:rsid w:val="05BF7462"/>
    <w:rsid w:val="09D354AA"/>
    <w:rsid w:val="0A200E2D"/>
    <w:rsid w:val="0BC820E2"/>
    <w:rsid w:val="0BDF1D07"/>
    <w:rsid w:val="1266089A"/>
    <w:rsid w:val="19C10BCE"/>
    <w:rsid w:val="26380843"/>
    <w:rsid w:val="26405C4F"/>
    <w:rsid w:val="2BFA09B4"/>
    <w:rsid w:val="2C4D29BC"/>
    <w:rsid w:val="323404FC"/>
    <w:rsid w:val="36C23655"/>
    <w:rsid w:val="383C5BD0"/>
    <w:rsid w:val="3B965952"/>
    <w:rsid w:val="3BC5739B"/>
    <w:rsid w:val="3F4F7918"/>
    <w:rsid w:val="418D7C96"/>
    <w:rsid w:val="43536B83"/>
    <w:rsid w:val="438C21E0"/>
    <w:rsid w:val="45726B7D"/>
    <w:rsid w:val="45BB49F3"/>
    <w:rsid w:val="4ED8739E"/>
    <w:rsid w:val="4F1729D9"/>
    <w:rsid w:val="4F795774"/>
    <w:rsid w:val="52E23187"/>
    <w:rsid w:val="540B196F"/>
    <w:rsid w:val="549506E8"/>
    <w:rsid w:val="5D85547F"/>
    <w:rsid w:val="625472E1"/>
    <w:rsid w:val="62DA2A3D"/>
    <w:rsid w:val="66572974"/>
    <w:rsid w:val="673F4664"/>
    <w:rsid w:val="6C0618C6"/>
    <w:rsid w:val="700C1760"/>
    <w:rsid w:val="738B299C"/>
    <w:rsid w:val="74DD2349"/>
    <w:rsid w:val="78622F0F"/>
    <w:rsid w:val="7F6008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Date"/>
    <w:basedOn w:val="1"/>
    <w:next w:val="1"/>
    <w:link w:val="42"/>
    <w:unhideWhenUsed/>
    <w:qFormat/>
    <w:uiPriority w:val="99"/>
    <w:pPr>
      <w:ind w:left="100" w:leftChars="2500"/>
    </w:pPr>
  </w:style>
  <w:style w:type="paragraph" w:styleId="8">
    <w:name w:val="Balloon Text"/>
    <w:basedOn w:val="1"/>
    <w:link w:val="44"/>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next w:val="1"/>
    <w:unhideWhenUsed/>
    <w:qFormat/>
    <w:uiPriority w:val="39"/>
    <w:pPr>
      <w:tabs>
        <w:tab w:val="left" w:pos="840"/>
        <w:tab w:val="right" w:leader="dot" w:pos="8296"/>
      </w:tabs>
      <w:spacing w:line="500" w:lineRule="exact"/>
      <w:jc w:val="both"/>
    </w:pPr>
    <w:rPr>
      <w:rFonts w:ascii="Times New Roman" w:hAnsi="Times New Roman" w:eastAsia="仿宋_GB2312" w:cstheme="minorBidi"/>
      <w:b/>
      <w:bCs/>
      <w:kern w:val="2"/>
      <w:sz w:val="32"/>
      <w:szCs w:val="32"/>
      <w:lang w:val="en-US" w:eastAsia="zh-CN" w:bidi="ar-SA"/>
    </w:rPr>
  </w:style>
  <w:style w:type="paragraph" w:styleId="12">
    <w:name w:val="toc 4"/>
    <w:basedOn w:val="1"/>
    <w:next w:val="1"/>
    <w:unhideWhenUsed/>
    <w:qFormat/>
    <w:uiPriority w:val="39"/>
    <w:pPr>
      <w:ind w:left="1260" w:leftChars="600"/>
    </w:pPr>
  </w:style>
  <w:style w:type="paragraph" w:styleId="13">
    <w:name w:val="toc 2"/>
    <w:next w:val="1"/>
    <w:unhideWhenUsed/>
    <w:qFormat/>
    <w:uiPriority w:val="39"/>
    <w:pPr>
      <w:spacing w:line="500" w:lineRule="exact"/>
      <w:ind w:left="200" w:leftChars="200"/>
      <w:jc w:val="both"/>
    </w:pPr>
    <w:rPr>
      <w:rFonts w:ascii="Times New Roman" w:hAnsi="Times New Roman" w:eastAsia="仿宋_GB2312" w:cstheme="minorBidi"/>
      <w:kern w:val="2"/>
      <w:sz w:val="32"/>
      <w:szCs w:val="22"/>
      <w:lang w:val="en-US" w:eastAsia="zh-CN" w:bidi="ar-SA"/>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主标题"/>
    <w:basedOn w:val="19"/>
    <w:link w:val="20"/>
    <w:qFormat/>
    <w:uiPriority w:val="0"/>
    <w:pPr>
      <w:ind w:firstLine="0" w:firstLineChars="0"/>
      <w:jc w:val="center"/>
    </w:pPr>
    <w:rPr>
      <w:rFonts w:ascii="方正小标宋简体" w:hAnsi="方正小标宋简体" w:eastAsia="方正小标宋简体"/>
      <w:b/>
      <w:sz w:val="44"/>
    </w:rPr>
  </w:style>
  <w:style w:type="paragraph" w:customStyle="1" w:styleId="19">
    <w:name w:val="报告正文"/>
    <w:link w:val="22"/>
    <w:qFormat/>
    <w:uiPriority w:val="0"/>
    <w:pPr>
      <w:spacing w:line="660" w:lineRule="exact"/>
      <w:ind w:firstLine="640" w:firstLineChars="200"/>
      <w:jc w:val="both"/>
    </w:pPr>
    <w:rPr>
      <w:rFonts w:ascii="Times New Roman" w:hAnsi="Times New Roman" w:eastAsia="仿宋_GB2312" w:cstheme="minorBidi"/>
      <w:sz w:val="32"/>
      <w:szCs w:val="32"/>
      <w:lang w:val="en-US" w:eastAsia="zh-CN" w:bidi="ar-SA"/>
    </w:rPr>
  </w:style>
  <w:style w:type="character" w:customStyle="1" w:styleId="20">
    <w:name w:val="主标题 字符"/>
    <w:basedOn w:val="14"/>
    <w:link w:val="18"/>
    <w:qFormat/>
    <w:uiPriority w:val="0"/>
    <w:rPr>
      <w:rFonts w:ascii="方正小标宋简体" w:hAnsi="方正小标宋简体" w:eastAsia="方正小标宋简体"/>
      <w:b/>
      <w:sz w:val="44"/>
      <w:szCs w:val="32"/>
    </w:rPr>
  </w:style>
  <w:style w:type="paragraph" w:customStyle="1" w:styleId="21">
    <w:name w:val="一级标题"/>
    <w:link w:val="23"/>
    <w:qFormat/>
    <w:uiPriority w:val="0"/>
    <w:pPr>
      <w:keepNext/>
      <w:numPr>
        <w:ilvl w:val="0"/>
        <w:numId w:val="1"/>
      </w:numPr>
      <w:spacing w:line="660" w:lineRule="exact"/>
      <w:jc w:val="both"/>
      <w:outlineLvl w:val="0"/>
    </w:pPr>
    <w:rPr>
      <w:rFonts w:ascii="Times New Roman" w:hAnsi="Times New Roman" w:eastAsia="黑体" w:cstheme="minorBidi"/>
      <w:sz w:val="32"/>
      <w:szCs w:val="32"/>
      <w:lang w:val="en-US" w:eastAsia="zh-CN" w:bidi="ar-SA"/>
    </w:rPr>
  </w:style>
  <w:style w:type="character" w:customStyle="1" w:styleId="22">
    <w:name w:val="报告正文 字符"/>
    <w:basedOn w:val="14"/>
    <w:link w:val="19"/>
    <w:qFormat/>
    <w:uiPriority w:val="0"/>
    <w:rPr>
      <w:rFonts w:ascii="Times New Roman" w:hAnsi="Times New Roman" w:eastAsia="仿宋_GB2312"/>
      <w:kern w:val="0"/>
      <w:sz w:val="32"/>
      <w:szCs w:val="32"/>
    </w:rPr>
  </w:style>
  <w:style w:type="character" w:customStyle="1" w:styleId="23">
    <w:name w:val="一级标题 字符"/>
    <w:basedOn w:val="22"/>
    <w:link w:val="21"/>
    <w:qFormat/>
    <w:uiPriority w:val="0"/>
    <w:rPr>
      <w:rFonts w:ascii="Times New Roman" w:hAnsi="Times New Roman" w:eastAsia="黑体"/>
      <w:kern w:val="0"/>
      <w:sz w:val="32"/>
      <w:szCs w:val="32"/>
    </w:rPr>
  </w:style>
  <w:style w:type="paragraph" w:customStyle="1" w:styleId="24">
    <w:name w:val="二级标题"/>
    <w:link w:val="26"/>
    <w:qFormat/>
    <w:uiPriority w:val="0"/>
    <w:pPr>
      <w:keepNext/>
      <w:numPr>
        <w:ilvl w:val="1"/>
        <w:numId w:val="1"/>
      </w:numPr>
      <w:spacing w:line="660" w:lineRule="exact"/>
      <w:jc w:val="both"/>
      <w:outlineLvl w:val="1"/>
    </w:pPr>
    <w:rPr>
      <w:rFonts w:ascii="Times New Roman" w:hAnsi="Times New Roman" w:eastAsia="楷体" w:cstheme="minorBidi"/>
      <w:b/>
      <w:sz w:val="32"/>
      <w:szCs w:val="32"/>
      <w:lang w:val="en-US" w:eastAsia="zh-CN" w:bidi="ar-SA"/>
    </w:rPr>
  </w:style>
  <w:style w:type="paragraph" w:customStyle="1" w:styleId="25">
    <w:name w:val="三级标题"/>
    <w:link w:val="28"/>
    <w:qFormat/>
    <w:uiPriority w:val="0"/>
    <w:pPr>
      <w:keepNext/>
      <w:numPr>
        <w:ilvl w:val="2"/>
        <w:numId w:val="1"/>
      </w:numPr>
      <w:spacing w:line="660" w:lineRule="exact"/>
      <w:jc w:val="both"/>
    </w:pPr>
    <w:rPr>
      <w:rFonts w:ascii="Times New Roman" w:hAnsi="Times New Roman" w:eastAsia="仿宋_GB2312" w:cstheme="minorBidi"/>
      <w:b/>
      <w:sz w:val="32"/>
      <w:szCs w:val="32"/>
      <w:lang w:val="en-US" w:eastAsia="zh-CN" w:bidi="ar-SA"/>
    </w:rPr>
  </w:style>
  <w:style w:type="character" w:customStyle="1" w:styleId="26">
    <w:name w:val="二级标题 字符"/>
    <w:basedOn w:val="22"/>
    <w:link w:val="24"/>
    <w:qFormat/>
    <w:uiPriority w:val="0"/>
    <w:rPr>
      <w:rFonts w:ascii="Times New Roman" w:hAnsi="Times New Roman" w:eastAsia="楷体"/>
      <w:b/>
      <w:kern w:val="0"/>
      <w:sz w:val="32"/>
      <w:szCs w:val="32"/>
    </w:rPr>
  </w:style>
  <w:style w:type="paragraph" w:customStyle="1" w:styleId="27">
    <w:name w:val="四级标题"/>
    <w:basedOn w:val="1"/>
    <w:link w:val="29"/>
    <w:qFormat/>
    <w:uiPriority w:val="0"/>
    <w:pPr>
      <w:numPr>
        <w:ilvl w:val="3"/>
        <w:numId w:val="1"/>
      </w:numPr>
      <w:spacing w:line="500" w:lineRule="exact"/>
    </w:pPr>
    <w:rPr>
      <w:rFonts w:ascii="Times New Roman" w:hAnsi="Times New Roman" w:eastAsia="仿宋_GB2312"/>
      <w:sz w:val="32"/>
    </w:rPr>
  </w:style>
  <w:style w:type="character" w:customStyle="1" w:styleId="28">
    <w:name w:val="三级标题 字符"/>
    <w:basedOn w:val="14"/>
    <w:link w:val="25"/>
    <w:qFormat/>
    <w:uiPriority w:val="0"/>
    <w:rPr>
      <w:rFonts w:ascii="Times New Roman" w:hAnsi="Times New Roman" w:eastAsia="仿宋_GB2312"/>
      <w:b/>
      <w:kern w:val="0"/>
      <w:sz w:val="32"/>
      <w:szCs w:val="32"/>
    </w:rPr>
  </w:style>
  <w:style w:type="character" w:customStyle="1" w:styleId="29">
    <w:name w:val="四级标题 字符"/>
    <w:basedOn w:val="14"/>
    <w:link w:val="27"/>
    <w:qFormat/>
    <w:uiPriority w:val="0"/>
    <w:rPr>
      <w:rFonts w:ascii="Times New Roman" w:hAnsi="Times New Roman" w:eastAsia="仿宋_GB2312"/>
      <w:sz w:val="32"/>
    </w:rPr>
  </w:style>
  <w:style w:type="character" w:customStyle="1" w:styleId="30">
    <w:name w:val="页眉 字符"/>
    <w:basedOn w:val="14"/>
    <w:link w:val="10"/>
    <w:qFormat/>
    <w:uiPriority w:val="99"/>
    <w:rPr>
      <w:sz w:val="18"/>
      <w:szCs w:val="18"/>
    </w:rPr>
  </w:style>
  <w:style w:type="character" w:customStyle="1" w:styleId="31">
    <w:name w:val="页脚 字符"/>
    <w:basedOn w:val="14"/>
    <w:link w:val="9"/>
    <w:qFormat/>
    <w:uiPriority w:val="99"/>
    <w:rPr>
      <w:sz w:val="18"/>
      <w:szCs w:val="18"/>
    </w:rPr>
  </w:style>
  <w:style w:type="paragraph" w:customStyle="1" w:styleId="32">
    <w:name w:val="列出段落1"/>
    <w:basedOn w:val="1"/>
    <w:qFormat/>
    <w:uiPriority w:val="34"/>
    <w:pPr>
      <w:ind w:firstLine="420" w:firstLineChars="200"/>
    </w:pPr>
  </w:style>
  <w:style w:type="character" w:customStyle="1" w:styleId="33">
    <w:name w:val="标题 1 字符"/>
    <w:basedOn w:val="14"/>
    <w:link w:val="2"/>
    <w:qFormat/>
    <w:uiPriority w:val="9"/>
    <w:rPr>
      <w:b/>
      <w:bCs/>
      <w:kern w:val="44"/>
      <w:sz w:val="44"/>
      <w:szCs w:val="44"/>
    </w:rPr>
  </w:style>
  <w:style w:type="character" w:customStyle="1" w:styleId="34">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35">
    <w:name w:val="标题 3 字符"/>
    <w:basedOn w:val="14"/>
    <w:link w:val="4"/>
    <w:semiHidden/>
    <w:qFormat/>
    <w:uiPriority w:val="9"/>
    <w:rPr>
      <w:b/>
      <w:bCs/>
      <w:sz w:val="32"/>
      <w:szCs w:val="32"/>
    </w:rPr>
  </w:style>
  <w:style w:type="character" w:customStyle="1" w:styleId="36">
    <w:name w:val="标题 4 字符"/>
    <w:basedOn w:val="14"/>
    <w:link w:val="5"/>
    <w:semiHidden/>
    <w:qFormat/>
    <w:uiPriority w:val="9"/>
    <w:rPr>
      <w:rFonts w:asciiTheme="majorHAnsi" w:hAnsiTheme="majorHAnsi" w:eastAsiaTheme="majorEastAsia" w:cstheme="majorBidi"/>
      <w:b/>
      <w:bCs/>
      <w:sz w:val="28"/>
      <w:szCs w:val="28"/>
    </w:rPr>
  </w:style>
  <w:style w:type="paragraph" w:customStyle="1" w:styleId="37">
    <w:name w:val="表格"/>
    <w:link w:val="38"/>
    <w:qFormat/>
    <w:uiPriority w:val="0"/>
    <w:pPr>
      <w:jc w:val="center"/>
    </w:pPr>
    <w:rPr>
      <w:rFonts w:ascii="仿宋_GB2312" w:hAnsi="仿宋_GB2312" w:eastAsia="仿宋_GB2312" w:cstheme="minorBidi"/>
      <w:sz w:val="24"/>
      <w:szCs w:val="32"/>
      <w:lang w:val="en-US" w:eastAsia="zh-CN" w:bidi="ar-SA"/>
    </w:rPr>
  </w:style>
  <w:style w:type="character" w:customStyle="1" w:styleId="38">
    <w:name w:val="表格 字符"/>
    <w:basedOn w:val="22"/>
    <w:link w:val="37"/>
    <w:qFormat/>
    <w:uiPriority w:val="0"/>
    <w:rPr>
      <w:rFonts w:ascii="仿宋_GB2312" w:hAnsi="仿宋_GB2312" w:eastAsia="仿宋_GB2312"/>
      <w:kern w:val="0"/>
      <w:sz w:val="24"/>
      <w:szCs w:val="32"/>
    </w:rPr>
  </w:style>
  <w:style w:type="paragraph" w:customStyle="1" w:styleId="39">
    <w:name w:val="无间隔1"/>
    <w:link w:val="40"/>
    <w:qFormat/>
    <w:uiPriority w:val="1"/>
    <w:rPr>
      <w:rFonts w:asciiTheme="minorHAnsi" w:hAnsiTheme="minorHAnsi" w:eastAsiaTheme="minorEastAsia" w:cstheme="minorBidi"/>
      <w:sz w:val="22"/>
      <w:szCs w:val="22"/>
      <w:lang w:val="en-US" w:eastAsia="zh-CN" w:bidi="ar-SA"/>
    </w:rPr>
  </w:style>
  <w:style w:type="character" w:customStyle="1" w:styleId="40">
    <w:name w:val="无间隔 字符"/>
    <w:basedOn w:val="14"/>
    <w:link w:val="39"/>
    <w:qFormat/>
    <w:uiPriority w:val="1"/>
    <w:rPr>
      <w:kern w:val="0"/>
      <w:sz w:val="22"/>
    </w:rPr>
  </w:style>
  <w:style w:type="character" w:customStyle="1" w:styleId="41">
    <w:name w:val="占位符文本1"/>
    <w:basedOn w:val="14"/>
    <w:semiHidden/>
    <w:qFormat/>
    <w:uiPriority w:val="99"/>
    <w:rPr>
      <w:color w:val="808080"/>
    </w:rPr>
  </w:style>
  <w:style w:type="character" w:customStyle="1" w:styleId="42">
    <w:name w:val="日期 字符"/>
    <w:basedOn w:val="14"/>
    <w:link w:val="7"/>
    <w:semiHidden/>
    <w:qFormat/>
    <w:uiPriority w:val="99"/>
  </w:style>
  <w:style w:type="paragraph" w:customStyle="1" w:styleId="43">
    <w:name w:val="闻政正文"/>
    <w:qFormat/>
    <w:uiPriority w:val="0"/>
    <w:pPr>
      <w:widowControl w:val="0"/>
      <w:spacing w:line="500" w:lineRule="exact"/>
      <w:ind w:firstLine="640" w:firstLineChars="200"/>
      <w:jc w:val="both"/>
    </w:pPr>
    <w:rPr>
      <w:rFonts w:ascii="Times New Roman" w:hAnsi="Times New Roman" w:eastAsia="仿宋_GB2312" w:cs="Times New Roman"/>
      <w:sz w:val="28"/>
      <w:szCs w:val="28"/>
      <w:lang w:val="en-US" w:eastAsia="zh-CN" w:bidi="ar-SA"/>
    </w:rPr>
  </w:style>
  <w:style w:type="character" w:customStyle="1" w:styleId="44">
    <w:name w:val="批注框文本 字符"/>
    <w:basedOn w:val="14"/>
    <w:link w:val="8"/>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B425A5-B6F9-4267-93C6-CAD25A23706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4157</Words>
  <Characters>23696</Characters>
  <Lines>197</Lines>
  <Paragraphs>55</Paragraphs>
  <TotalTime>0</TotalTime>
  <ScaleCrop>false</ScaleCrop>
  <LinksUpToDate>false</LinksUpToDate>
  <CharactersWithSpaces>27798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2021-06-22T02:36:00Z</dcterms:created>
  <dc:creator>W WILLIAM</dc:creator>
  <cp:lastModifiedBy>lenovo</cp:lastModifiedBy>
  <cp:lastPrinted>2021-07-20T02:15:00Z</cp:lastPrinted>
  <dcterms:modified xsi:type="dcterms:W3CDTF">2021-08-24T01:51:16Z</dcterms:modified>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D53314E5160445C28C08CB8E86F9DB1A</vt:lpwstr>
  </property>
</Properties>
</file>