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jc w:val="center"/>
        <w:rPr>
          <w:sz w:val="32"/>
          <w:szCs w:val="32"/>
        </w:rPr>
      </w:pPr>
    </w:p>
    <w:p>
      <w:pPr>
        <w:pStyle w:val="2"/>
        <w:jc w:val="center"/>
        <w:rPr>
          <w:sz w:val="32"/>
          <w:szCs w:val="32"/>
        </w:rPr>
      </w:pPr>
    </w:p>
    <w:p>
      <w:pPr>
        <w:pStyle w:val="2"/>
        <w:jc w:val="center"/>
        <w:rPr>
          <w:sz w:val="32"/>
          <w:szCs w:val="32"/>
        </w:rPr>
      </w:pPr>
    </w:p>
    <w:p>
      <w:pPr>
        <w:pStyle w:val="2"/>
        <w:jc w:val="center"/>
        <w:rPr>
          <w:sz w:val="32"/>
          <w:szCs w:val="32"/>
        </w:rPr>
      </w:pPr>
    </w:p>
    <w:p>
      <w:pPr>
        <w:pStyle w:val="2"/>
        <w:jc w:val="center"/>
        <w:rPr>
          <w:sz w:val="32"/>
          <w:szCs w:val="32"/>
        </w:rPr>
      </w:pPr>
      <w:r>
        <w:rPr>
          <w:sz w:val="32"/>
          <w:szCs w:val="32"/>
        </w:rPr>
        <w:t>2020年度</w:t>
      </w:r>
    </w:p>
    <w:p>
      <w:pPr>
        <w:pStyle w:val="2"/>
        <w:jc w:val="center"/>
        <w:rPr>
          <w:sz w:val="32"/>
          <w:szCs w:val="32"/>
        </w:rPr>
      </w:pPr>
      <w:r>
        <w:rPr>
          <w:sz w:val="32"/>
          <w:szCs w:val="32"/>
        </w:rPr>
        <w:t>甘肃省人民代表大会常务委员会人民之声报社部门决算</w:t>
      </w:r>
    </w:p>
    <w:p>
      <w:pPr>
        <w:pStyle w:val="2"/>
        <w:jc w:val="center"/>
      </w:pPr>
      <w:r>
        <w:t> </w:t>
      </w:r>
    </w:p>
    <w:p>
      <w:pPr>
        <w:pStyle w:val="2"/>
        <w:jc w:val="center"/>
        <w:rPr>
          <w:rStyle w:val="4"/>
        </w:rPr>
      </w:pPr>
    </w:p>
    <w:p>
      <w:pPr>
        <w:pStyle w:val="2"/>
        <w:jc w:val="center"/>
        <w:rPr>
          <w:rStyle w:val="4"/>
        </w:rPr>
      </w:pPr>
    </w:p>
    <w:p>
      <w:pPr>
        <w:pStyle w:val="2"/>
        <w:jc w:val="center"/>
        <w:rPr>
          <w:rStyle w:val="4"/>
        </w:rPr>
      </w:pPr>
    </w:p>
    <w:p>
      <w:pPr>
        <w:pStyle w:val="2"/>
        <w:jc w:val="center"/>
        <w:rPr>
          <w:rStyle w:val="4"/>
        </w:rPr>
      </w:pPr>
    </w:p>
    <w:p>
      <w:pPr>
        <w:pStyle w:val="2"/>
        <w:jc w:val="center"/>
        <w:rPr>
          <w:rStyle w:val="4"/>
        </w:rPr>
      </w:pPr>
    </w:p>
    <w:p>
      <w:pPr>
        <w:pStyle w:val="2"/>
        <w:jc w:val="center"/>
        <w:rPr>
          <w:rStyle w:val="4"/>
        </w:rPr>
      </w:pPr>
    </w:p>
    <w:p>
      <w:pPr>
        <w:pStyle w:val="2"/>
        <w:jc w:val="center"/>
        <w:rPr>
          <w:rStyle w:val="4"/>
        </w:rPr>
      </w:pPr>
    </w:p>
    <w:p>
      <w:pPr>
        <w:pStyle w:val="2"/>
        <w:jc w:val="center"/>
        <w:rPr>
          <w:rStyle w:val="4"/>
        </w:rPr>
      </w:pPr>
    </w:p>
    <w:p>
      <w:pPr>
        <w:pStyle w:val="2"/>
        <w:jc w:val="center"/>
        <w:rPr>
          <w:rStyle w:val="4"/>
        </w:rPr>
      </w:pPr>
    </w:p>
    <w:p>
      <w:pPr>
        <w:pStyle w:val="2"/>
        <w:jc w:val="center"/>
        <w:rPr>
          <w:rStyle w:val="4"/>
        </w:rPr>
      </w:pPr>
    </w:p>
    <w:p>
      <w:pPr>
        <w:pStyle w:val="2"/>
        <w:jc w:val="center"/>
        <w:rPr>
          <w:rStyle w:val="4"/>
        </w:rPr>
      </w:pPr>
    </w:p>
    <w:p>
      <w:pPr>
        <w:pStyle w:val="2"/>
        <w:jc w:val="center"/>
        <w:rPr>
          <w:rStyle w:val="4"/>
        </w:rPr>
      </w:pPr>
    </w:p>
    <w:p>
      <w:pPr>
        <w:pStyle w:val="2"/>
        <w:jc w:val="center"/>
        <w:rPr>
          <w:rStyle w:val="4"/>
        </w:rPr>
      </w:pPr>
    </w:p>
    <w:p>
      <w:pPr>
        <w:pStyle w:val="2"/>
        <w:ind w:firstLine="3855" w:firstLineChars="1600"/>
        <w:jc w:val="both"/>
      </w:pPr>
      <w:r>
        <w:rPr>
          <w:rStyle w:val="4"/>
        </w:rPr>
        <w:t>目</w:t>
      </w:r>
      <w:r>
        <w:t xml:space="preserve"> </w:t>
      </w:r>
      <w:r>
        <w:rPr>
          <w:rStyle w:val="4"/>
        </w:rPr>
        <w:t>录</w:t>
      </w:r>
    </w:p>
    <w:p>
      <w:pPr>
        <w:pStyle w:val="2"/>
      </w:pPr>
      <w:r>
        <w:rPr>
          <w:rStyle w:val="4"/>
        </w:rPr>
        <w:t>第一部分  部门概括</w:t>
      </w:r>
    </w:p>
    <w:p>
      <w:pPr>
        <w:pStyle w:val="2"/>
      </w:pPr>
      <w:r>
        <w:t>一、部门职责</w:t>
      </w:r>
    </w:p>
    <w:p>
      <w:pPr>
        <w:pStyle w:val="2"/>
      </w:pPr>
      <w:r>
        <w:t>二、机构设置</w:t>
      </w:r>
    </w:p>
    <w:p>
      <w:pPr>
        <w:pStyle w:val="2"/>
      </w:pPr>
      <w:r>
        <w:rPr>
          <w:rStyle w:val="4"/>
        </w:rPr>
        <w:t>第二部分  2020年度部门决算表</w:t>
      </w:r>
    </w:p>
    <w:p>
      <w:pPr>
        <w:pStyle w:val="2"/>
      </w:pPr>
      <w:r>
        <w:t>一、收入支出决算总表</w:t>
      </w:r>
    </w:p>
    <w:p>
      <w:pPr>
        <w:pStyle w:val="2"/>
      </w:pPr>
      <w:r>
        <w:t>二、收入决算表</w:t>
      </w:r>
    </w:p>
    <w:p>
      <w:pPr>
        <w:pStyle w:val="2"/>
      </w:pPr>
      <w:r>
        <w:t>三、支出决算表</w:t>
      </w:r>
    </w:p>
    <w:p>
      <w:pPr>
        <w:pStyle w:val="2"/>
      </w:pPr>
      <w:r>
        <w:t>四、财政拨款收入支出决算总表</w:t>
      </w:r>
    </w:p>
    <w:p>
      <w:pPr>
        <w:pStyle w:val="2"/>
      </w:pPr>
      <w:r>
        <w:t>五、一般公共预算财政拨款支出决算表</w:t>
      </w:r>
    </w:p>
    <w:p>
      <w:pPr>
        <w:pStyle w:val="2"/>
      </w:pPr>
      <w:r>
        <w:t>六、一般公共预算财政拨款基本支出决算表</w:t>
      </w:r>
    </w:p>
    <w:p>
      <w:pPr>
        <w:pStyle w:val="2"/>
      </w:pPr>
      <w:r>
        <w:t>七、一般公共预算财政拨款“三公”经费支出决算表</w:t>
      </w:r>
    </w:p>
    <w:p>
      <w:pPr>
        <w:pStyle w:val="2"/>
      </w:pPr>
      <w:r>
        <w:t>八、政府性基金预算财政拨款收入支出决算表</w:t>
      </w:r>
    </w:p>
    <w:p>
      <w:pPr>
        <w:pStyle w:val="2"/>
      </w:pPr>
      <w:r>
        <w:t>九、国有资本经营预算财政拨款支出决算表</w:t>
      </w:r>
    </w:p>
    <w:p>
      <w:pPr>
        <w:pStyle w:val="2"/>
      </w:pPr>
      <w:r>
        <w:rPr>
          <w:rStyle w:val="4"/>
        </w:rPr>
        <w:t>第三部分  2020年度部门决算情况说明</w:t>
      </w:r>
    </w:p>
    <w:p>
      <w:pPr>
        <w:pStyle w:val="2"/>
      </w:pPr>
      <w:r>
        <w:t>一、收入支出决算总体情况说明</w:t>
      </w:r>
    </w:p>
    <w:p>
      <w:pPr>
        <w:pStyle w:val="2"/>
      </w:pPr>
      <w:r>
        <w:t>二、收入决算情况说明</w:t>
      </w:r>
    </w:p>
    <w:p>
      <w:pPr>
        <w:pStyle w:val="2"/>
      </w:pPr>
      <w:r>
        <w:t>三、支出决算情况说明</w:t>
      </w:r>
    </w:p>
    <w:p>
      <w:pPr>
        <w:pStyle w:val="2"/>
      </w:pPr>
      <w:r>
        <w:t>四、财政拨款收入支出决算总体情况说明</w:t>
      </w:r>
    </w:p>
    <w:p>
      <w:pPr>
        <w:pStyle w:val="2"/>
      </w:pPr>
      <w:r>
        <w:t>五、一般公共预算财政拨款支出决算情况说明</w:t>
      </w:r>
    </w:p>
    <w:p>
      <w:pPr>
        <w:pStyle w:val="2"/>
      </w:pPr>
      <w:r>
        <w:t>六、一般公共预算财政拨款基本支出决算情况说明</w:t>
      </w:r>
    </w:p>
    <w:p>
      <w:pPr>
        <w:pStyle w:val="2"/>
      </w:pPr>
      <w:r>
        <w:t>七、一般公共预算财政拨款“三公”经费支出决算情况说明</w:t>
      </w:r>
    </w:p>
    <w:p>
      <w:pPr>
        <w:pStyle w:val="2"/>
      </w:pPr>
      <w:r>
        <w:t>八、机关运行经费支出情况说明</w:t>
      </w:r>
    </w:p>
    <w:p>
      <w:pPr>
        <w:pStyle w:val="2"/>
      </w:pPr>
      <w:r>
        <w:rPr>
          <w:rStyle w:val="4"/>
        </w:rPr>
        <w:t>第四部分  名词解释</w:t>
      </w:r>
    </w:p>
    <w:p>
      <w:pPr>
        <w:pStyle w:val="2"/>
        <w:jc w:val="center"/>
      </w:pPr>
      <w:r>
        <w:t> </w:t>
      </w:r>
    </w:p>
    <w:p>
      <w:pPr>
        <w:pStyle w:val="2"/>
        <w:jc w:val="center"/>
      </w:pPr>
      <w:r>
        <w:t> </w:t>
      </w:r>
      <w:r>
        <w:rPr>
          <w:rStyle w:val="4"/>
        </w:rPr>
        <w:t>第一部分  部门概括</w:t>
      </w:r>
    </w:p>
    <w:p>
      <w:pPr>
        <w:pStyle w:val="2"/>
      </w:pPr>
      <w:r>
        <w:t>一、部门职责</w:t>
      </w:r>
    </w:p>
    <w:p>
      <w:pPr>
        <w:ind w:firstLine="480" w:firstLineChars="200"/>
        <w:rPr>
          <w:rFonts w:hint="default" w:ascii="宋体" w:hAnsi="宋体" w:eastAsia="宋体" w:cs="宋体"/>
          <w:sz w:val="24"/>
          <w:szCs w:val="24"/>
          <w:lang w:val="en-US"/>
        </w:rPr>
      </w:pPr>
      <w:r>
        <w:rPr>
          <w:rFonts w:hint="eastAsia" w:ascii="宋体" w:hAnsi="宋体" w:eastAsia="宋体" w:cs="宋体"/>
          <w:sz w:val="24"/>
          <w:szCs w:val="24"/>
        </w:rPr>
        <w:t>负责</w:t>
      </w:r>
      <w:r>
        <w:rPr>
          <w:rFonts w:hint="eastAsia" w:ascii="宋体" w:hAnsi="宋体" w:eastAsia="宋体" w:cs="宋体"/>
          <w:sz w:val="24"/>
          <w:szCs w:val="24"/>
          <w:lang w:eastAsia="zh-CN"/>
        </w:rPr>
        <w:t>甘肃省人大常委会主办的</w:t>
      </w:r>
      <w:r>
        <w:rPr>
          <w:rFonts w:hint="eastAsia" w:ascii="宋体" w:hAnsi="宋体" w:eastAsia="宋体" w:cs="宋体"/>
          <w:sz w:val="24"/>
          <w:szCs w:val="24"/>
        </w:rPr>
        <w:t>《人民之声》</w:t>
      </w:r>
      <w:r>
        <w:rPr>
          <w:rFonts w:hint="eastAsia" w:ascii="宋体" w:hAnsi="宋体" w:eastAsia="宋体" w:cs="宋体"/>
          <w:sz w:val="24"/>
          <w:szCs w:val="24"/>
          <w:lang w:eastAsia="zh-CN"/>
        </w:rPr>
        <w:t>报</w:t>
      </w:r>
      <w:r>
        <w:rPr>
          <w:rFonts w:hint="eastAsia"/>
          <w:color w:val="000000" w:themeColor="text1"/>
          <w:lang w:eastAsia="zh-CN"/>
          <w14:textFill>
            <w14:solidFill>
              <w14:schemeClr w14:val="tx1"/>
            </w14:solidFill>
          </w14:textFill>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“甘肃人大”手机客户端的</w:t>
      </w:r>
      <w:r>
        <w:rPr>
          <w:rFonts w:hint="eastAsia" w:ascii="宋体" w:hAnsi="宋体" w:eastAsia="宋体" w:cs="宋体"/>
          <w:sz w:val="24"/>
          <w:szCs w:val="24"/>
          <w:lang w:eastAsia="zh-CN"/>
        </w:rPr>
        <w:t>采</w:t>
      </w:r>
      <w:r>
        <w:rPr>
          <w:rFonts w:hint="eastAsia" w:ascii="宋体" w:hAnsi="宋体" w:eastAsia="宋体" w:cs="宋体"/>
          <w:sz w:val="24"/>
          <w:szCs w:val="24"/>
        </w:rPr>
        <w:t>编</w:t>
      </w:r>
      <w:r>
        <w:rPr>
          <w:rFonts w:hint="eastAsia" w:ascii="宋体" w:hAnsi="宋体" w:eastAsia="宋体" w:cs="宋体"/>
          <w:sz w:val="24"/>
          <w:szCs w:val="24"/>
          <w:lang w:eastAsia="zh-CN"/>
        </w:rPr>
        <w:t>、</w:t>
      </w:r>
      <w:r>
        <w:rPr>
          <w:rFonts w:hint="eastAsia" w:ascii="宋体" w:hAnsi="宋体" w:eastAsia="宋体" w:cs="宋体"/>
          <w:sz w:val="24"/>
          <w:szCs w:val="24"/>
        </w:rPr>
        <w:t>出版</w:t>
      </w:r>
      <w:r>
        <w:rPr>
          <w:rFonts w:hint="eastAsia" w:ascii="宋体" w:hAnsi="宋体" w:eastAsia="宋体" w:cs="宋体"/>
          <w:sz w:val="24"/>
          <w:szCs w:val="24"/>
          <w:lang w:eastAsia="zh-CN"/>
        </w:rPr>
        <w:t>、发布</w:t>
      </w:r>
      <w:r>
        <w:rPr>
          <w:rFonts w:hint="eastAsia" w:ascii="宋体" w:hAnsi="宋体" w:eastAsia="宋体" w:cs="宋体"/>
          <w:sz w:val="24"/>
          <w:szCs w:val="24"/>
          <w:lang w:val="en-US" w:eastAsia="zh-CN"/>
        </w:rPr>
        <w:t>和运维</w:t>
      </w:r>
      <w:r>
        <w:rPr>
          <w:rFonts w:hint="eastAsia" w:ascii="宋体" w:hAnsi="宋体" w:eastAsia="宋体" w:cs="宋体"/>
          <w:sz w:val="24"/>
          <w:szCs w:val="24"/>
          <w:lang w:eastAsia="zh-CN"/>
        </w:rPr>
        <w:t>工作，为宣传人民代表大会制度，报道全省各级人大工作和各级人大代表履职服务。</w:t>
      </w:r>
    </w:p>
    <w:p>
      <w:pPr>
        <w:pStyle w:val="2"/>
      </w:pPr>
      <w:r>
        <w:t>二、机构设置</w:t>
      </w:r>
    </w:p>
    <w:p>
      <w:pPr>
        <w:pStyle w:val="2"/>
        <w:ind w:firstLine="480" w:firstLineChars="200"/>
        <w:rPr>
          <w:rFonts w:hint="eastAsia" w:ascii="宋体" w:hAnsi="宋体" w:eastAsia="宋体" w:cs="宋体"/>
          <w:sz w:val="24"/>
          <w:szCs w:val="24"/>
        </w:rPr>
      </w:pPr>
      <w:r>
        <w:rPr>
          <w:rFonts w:hint="eastAsia" w:ascii="宋体" w:hAnsi="宋体" w:eastAsia="宋体" w:cs="宋体"/>
          <w:sz w:val="24"/>
          <w:szCs w:val="24"/>
        </w:rPr>
        <w:t>人民之声报社</w:t>
      </w:r>
      <w:r>
        <w:rPr>
          <w:rFonts w:hint="eastAsia" w:ascii="宋体" w:hAnsi="宋体" w:eastAsia="宋体" w:cs="宋体"/>
          <w:sz w:val="24"/>
          <w:szCs w:val="24"/>
          <w:lang w:eastAsia="zh-CN"/>
        </w:rPr>
        <w:t>是</w:t>
      </w:r>
      <w:r>
        <w:rPr>
          <w:rFonts w:hint="eastAsia" w:ascii="宋体" w:hAnsi="宋体" w:eastAsia="宋体" w:cs="宋体"/>
          <w:sz w:val="24"/>
          <w:szCs w:val="24"/>
        </w:rPr>
        <w:t>财政全额拨款、财务独立核算的</w:t>
      </w:r>
      <w:r>
        <w:rPr>
          <w:rFonts w:hint="eastAsia" w:cs="宋体"/>
          <w:sz w:val="24"/>
          <w:szCs w:val="24"/>
          <w:lang w:eastAsia="zh-CN"/>
        </w:rPr>
        <w:t>正</w:t>
      </w:r>
      <w:r>
        <w:rPr>
          <w:rFonts w:hint="eastAsia" w:ascii="宋体" w:hAnsi="宋体" w:eastAsia="宋体" w:cs="宋体"/>
          <w:sz w:val="24"/>
          <w:szCs w:val="24"/>
        </w:rPr>
        <w:t>县级事业单位，直属于省人大常委会。人民之声报社核定事业编制10名，内设编辑部、办公室2个科级机构。截至20</w:t>
      </w:r>
      <w:r>
        <w:rPr>
          <w:rFonts w:hint="eastAsia" w:ascii="宋体" w:hAnsi="宋体" w:eastAsia="宋体" w:cs="宋体"/>
          <w:sz w:val="24"/>
          <w:szCs w:val="24"/>
          <w:lang w:val="en-US" w:eastAsia="zh-CN"/>
        </w:rPr>
        <w:t>20</w:t>
      </w:r>
      <w:r>
        <w:rPr>
          <w:rFonts w:hint="eastAsia" w:ascii="宋体" w:hAnsi="宋体" w:eastAsia="宋体" w:cs="宋体"/>
          <w:sz w:val="24"/>
          <w:szCs w:val="24"/>
        </w:rPr>
        <w:t>年底，实有在编人员</w:t>
      </w:r>
      <w:r>
        <w:rPr>
          <w:rFonts w:hint="eastAsia" w:ascii="宋体" w:hAnsi="宋体" w:eastAsia="宋体" w:cs="宋体"/>
          <w:sz w:val="24"/>
          <w:szCs w:val="24"/>
          <w:lang w:val="en-US" w:eastAsia="zh-CN"/>
        </w:rPr>
        <w:t>5</w:t>
      </w:r>
      <w:r>
        <w:rPr>
          <w:rFonts w:hint="eastAsia" w:ascii="宋体" w:hAnsi="宋体" w:eastAsia="宋体" w:cs="宋体"/>
          <w:sz w:val="24"/>
          <w:szCs w:val="24"/>
        </w:rPr>
        <w:t>名</w:t>
      </w:r>
      <w:r>
        <w:rPr>
          <w:rFonts w:hint="eastAsia" w:ascii="宋体" w:hAnsi="宋体" w:eastAsia="宋体" w:cs="宋体"/>
          <w:sz w:val="24"/>
          <w:szCs w:val="24"/>
          <w:lang w:eastAsia="zh-CN"/>
        </w:rPr>
        <w:t>、</w:t>
      </w:r>
      <w:r>
        <w:rPr>
          <w:rFonts w:hint="eastAsia" w:ascii="宋体" w:hAnsi="宋体" w:eastAsia="宋体" w:cs="宋体"/>
          <w:sz w:val="24"/>
          <w:szCs w:val="24"/>
        </w:rPr>
        <w:t>自行招聘人员8名，共计人员1</w:t>
      </w:r>
      <w:r>
        <w:rPr>
          <w:rFonts w:hint="eastAsia" w:ascii="宋体" w:hAnsi="宋体" w:eastAsia="宋体" w:cs="宋体"/>
          <w:sz w:val="24"/>
          <w:szCs w:val="24"/>
          <w:lang w:val="en-US" w:eastAsia="zh-CN"/>
        </w:rPr>
        <w:t>3</w:t>
      </w:r>
      <w:r>
        <w:rPr>
          <w:rFonts w:hint="eastAsia" w:ascii="宋体" w:hAnsi="宋体" w:eastAsia="宋体" w:cs="宋体"/>
          <w:sz w:val="24"/>
          <w:szCs w:val="24"/>
        </w:rPr>
        <w:t>名。</w:t>
      </w:r>
    </w:p>
    <w:p>
      <w:pPr>
        <w:pStyle w:val="2"/>
        <w:jc w:val="center"/>
      </w:pPr>
      <w:r>
        <w:rPr>
          <w:rStyle w:val="4"/>
        </w:rPr>
        <w:t>第二部分  2020年度部门决算表</w:t>
      </w:r>
    </w:p>
    <w:p>
      <w:pPr>
        <w:pStyle w:val="2"/>
      </w:pPr>
    </w:p>
    <w:p>
      <w:pPr>
        <w:pStyle w:val="2"/>
      </w:pPr>
      <w:r>
        <w:t>一、收入支出决算总表</w:t>
      </w:r>
    </w:p>
    <w:p>
      <w:pPr>
        <w:pStyle w:val="2"/>
      </w:pPr>
      <w:r>
        <w:t>二、收入决算表</w:t>
      </w:r>
    </w:p>
    <w:p>
      <w:pPr>
        <w:pStyle w:val="2"/>
      </w:pPr>
      <w:r>
        <w:t>三、支出决算表</w:t>
      </w:r>
    </w:p>
    <w:p>
      <w:pPr>
        <w:pStyle w:val="2"/>
      </w:pPr>
      <w:r>
        <w:t>四、财政拨款收入支出决算总表</w:t>
      </w:r>
    </w:p>
    <w:p>
      <w:pPr>
        <w:pStyle w:val="2"/>
      </w:pPr>
      <w:r>
        <w:t>五、一般公共预算财政拨款支出决算表</w:t>
      </w:r>
    </w:p>
    <w:p>
      <w:pPr>
        <w:pStyle w:val="2"/>
      </w:pPr>
      <w:r>
        <w:t>六、一般公共预算财政拨款基本支出决算表</w:t>
      </w:r>
    </w:p>
    <w:p>
      <w:pPr>
        <w:pStyle w:val="2"/>
      </w:pPr>
      <w:r>
        <w:t>七、一般公共预算财政拨款“三公”经费支出决算表</w:t>
      </w:r>
    </w:p>
    <w:p>
      <w:pPr>
        <w:pStyle w:val="2"/>
      </w:pPr>
      <w:r>
        <w:t>八、政府性基金预算财政拨款收入支出决算表</w:t>
      </w:r>
    </w:p>
    <w:p>
      <w:pPr>
        <w:pStyle w:val="2"/>
      </w:pPr>
      <w:r>
        <w:t>九、国有资本经营预算财政拨款支出决算表</w:t>
      </w:r>
    </w:p>
    <w:p>
      <w:pPr>
        <w:pStyle w:val="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部门决算表附后</w:t>
      </w:r>
      <w:r>
        <w:rPr>
          <w:color w:val="000000" w:themeColor="text1"/>
          <w14:textFill>
            <w14:solidFill>
              <w14:schemeClr w14:val="tx1"/>
            </w14:solidFill>
          </w14:textFill>
        </w:rPr>
        <w:t>）</w:t>
      </w:r>
    </w:p>
    <w:p>
      <w:pPr>
        <w:pStyle w:val="2"/>
        <w:jc w:val="center"/>
      </w:pPr>
      <w:r>
        <w:rPr>
          <w:rStyle w:val="4"/>
        </w:rPr>
        <w:t>第三部分  2020年度部门决算情况说明</w:t>
      </w:r>
    </w:p>
    <w:p>
      <w:pPr>
        <w:pStyle w:val="2"/>
      </w:pPr>
      <w:r>
        <w:t>一、收入支出决算总体情况说明</w:t>
      </w:r>
    </w:p>
    <w:p>
      <w:pPr>
        <w:pStyle w:val="2"/>
        <w:ind w:firstLine="480" w:firstLineChars="200"/>
        <w:rPr>
          <w:rFonts w:hint="eastAsia" w:eastAsia="宋体"/>
          <w:lang w:val="en-US" w:eastAsia="zh-CN"/>
        </w:rPr>
      </w:pPr>
      <w:r>
        <w:t>20</w:t>
      </w:r>
      <w:r>
        <w:rPr>
          <w:rFonts w:hint="eastAsia"/>
          <w:lang w:val="en-US" w:eastAsia="zh-CN"/>
        </w:rPr>
        <w:t>19</w:t>
      </w:r>
      <w:r>
        <w:t>年度</w:t>
      </w:r>
      <w:r>
        <w:rPr>
          <w:rFonts w:hint="eastAsia"/>
          <w:lang w:eastAsia="zh-CN"/>
        </w:rPr>
        <w:t>收入、支出总计</w:t>
      </w:r>
      <w:r>
        <w:rPr>
          <w:rFonts w:hint="eastAsia"/>
          <w:lang w:val="en-US" w:eastAsia="zh-CN"/>
        </w:rPr>
        <w:t>369.13万元，</w:t>
      </w:r>
      <w:r>
        <w:t>2020年度</w:t>
      </w:r>
      <w:r>
        <w:rPr>
          <w:rFonts w:hint="eastAsia"/>
          <w:lang w:eastAsia="zh-CN"/>
        </w:rPr>
        <w:t>收入、支出总计</w:t>
      </w:r>
      <w:r>
        <w:rPr>
          <w:rFonts w:hint="eastAsia"/>
          <w:lang w:val="en-US" w:eastAsia="zh-CN"/>
        </w:rPr>
        <w:t>387.74万元。</w:t>
      </w:r>
      <w:r>
        <w:t>较上年决算数增加18.61万元,增长5.04%,</w:t>
      </w:r>
      <w:r>
        <w:rPr>
          <w:rFonts w:hint="eastAsia"/>
          <w:lang w:eastAsia="zh-CN"/>
        </w:rPr>
        <w:t>出版发行比值比上年略有增加，</w:t>
      </w:r>
      <w:r>
        <w:t>主要原因是</w:t>
      </w:r>
      <w:r>
        <w:rPr>
          <w:rFonts w:hint="eastAsia"/>
          <w:lang w:eastAsia="zh-CN"/>
        </w:rPr>
        <w:t>增加了公务员医疗补助和工伤保险。</w:t>
      </w:r>
    </w:p>
    <w:p>
      <w:pPr>
        <w:pStyle w:val="2"/>
      </w:pPr>
      <w:r>
        <w:t>二、收入决算情况说明</w:t>
      </w:r>
    </w:p>
    <w:p>
      <w:pPr>
        <w:pStyle w:val="2"/>
        <w:ind w:firstLine="480" w:firstLineChars="200"/>
        <w:rPr>
          <w:rFonts w:hint="eastAsia" w:eastAsia="宋体"/>
          <w:lang w:val="en-US" w:eastAsia="zh-CN"/>
        </w:rPr>
      </w:pPr>
      <w:r>
        <w:t>2020年度收入合计244.36万元，其中：一般公共预算财政拨款收入158.83万元，占</w:t>
      </w:r>
      <w:r>
        <w:rPr>
          <w:rFonts w:hint="eastAsia"/>
          <w:lang w:eastAsia="zh-CN"/>
        </w:rPr>
        <w:t>总收入的</w:t>
      </w:r>
      <w:r>
        <w:t>65.00%；</w:t>
      </w:r>
      <w:r>
        <w:rPr>
          <w:rFonts w:hint="eastAsia"/>
          <w:lang w:eastAsia="zh-CN"/>
        </w:rPr>
        <w:t>事业收入</w:t>
      </w:r>
      <w:r>
        <w:rPr>
          <w:rFonts w:hint="eastAsia"/>
          <w:lang w:val="en-US" w:eastAsia="zh-CN"/>
        </w:rPr>
        <w:t>85.53万元，</w:t>
      </w:r>
      <w:r>
        <w:t>占</w:t>
      </w:r>
      <w:r>
        <w:rPr>
          <w:rFonts w:hint="eastAsia"/>
          <w:lang w:eastAsia="zh-CN"/>
        </w:rPr>
        <w:t>总收入的</w:t>
      </w:r>
      <w:r>
        <w:rPr>
          <w:rFonts w:hint="eastAsia"/>
          <w:lang w:val="en-US" w:eastAsia="zh-CN"/>
        </w:rPr>
        <w:t>35</w:t>
      </w:r>
      <w:r>
        <w:t>.00%</w:t>
      </w:r>
      <w:r>
        <w:rPr>
          <w:rFonts w:hint="eastAsia"/>
          <w:lang w:eastAsia="zh-CN"/>
        </w:rPr>
        <w:t>。</w:t>
      </w:r>
    </w:p>
    <w:p>
      <w:pPr>
        <w:pStyle w:val="2"/>
      </w:pPr>
      <w:r>
        <w:t>三、支出决算情况说明</w:t>
      </w:r>
    </w:p>
    <w:p>
      <w:pPr>
        <w:pStyle w:val="2"/>
        <w:ind w:firstLine="480" w:firstLineChars="200"/>
        <w:rPr>
          <w:rFonts w:hint="eastAsia" w:eastAsia="宋体"/>
          <w:highlight w:val="none"/>
          <w:lang w:eastAsia="zh-CN"/>
        </w:rPr>
      </w:pPr>
      <w:r>
        <w:rPr>
          <w:highlight w:val="none"/>
        </w:rPr>
        <w:t>2020年度支出合计230.93万元，基本支出230.93万元，占100.00%</w:t>
      </w:r>
      <w:r>
        <w:rPr>
          <w:rFonts w:hint="eastAsia"/>
          <w:highlight w:val="none"/>
          <w:lang w:eastAsia="zh-CN"/>
        </w:rPr>
        <w:t>。</w:t>
      </w:r>
    </w:p>
    <w:p>
      <w:pPr>
        <w:pStyle w:val="2"/>
      </w:pPr>
      <w:r>
        <w:t>四、财政拨款收入支出决算总体情况说明</w:t>
      </w:r>
    </w:p>
    <w:p>
      <w:pPr>
        <w:pStyle w:val="2"/>
        <w:ind w:firstLine="480" w:firstLineChars="200"/>
        <w:rPr>
          <w:rFonts w:hint="eastAsia" w:eastAsia="宋体"/>
          <w:lang w:val="en-US" w:eastAsia="zh-CN"/>
        </w:rPr>
      </w:pPr>
      <w:r>
        <w:t>2020年度财政拨款收、支总计158.83万元。与2019年相比，财政拨款收、支总计各增加3.28万元，增长2.11%。</w:t>
      </w:r>
      <w:r>
        <w:rPr>
          <w:rFonts w:hint="eastAsia"/>
          <w:lang w:eastAsia="zh-CN"/>
        </w:rPr>
        <w:t>出版发行比值比上年略有增加，</w:t>
      </w:r>
      <w:r>
        <w:t>主要原因是</w:t>
      </w:r>
      <w:r>
        <w:rPr>
          <w:rFonts w:hint="eastAsia"/>
          <w:lang w:eastAsia="zh-CN"/>
        </w:rPr>
        <w:t>增加了公务员医疗补助和工伤保险。</w:t>
      </w:r>
    </w:p>
    <w:p>
      <w:pPr>
        <w:pStyle w:val="2"/>
      </w:pPr>
      <w:r>
        <w:t>五、一般公共预算财政拨款支出决算情况说明</w:t>
      </w:r>
    </w:p>
    <w:p>
      <w:pPr>
        <w:pStyle w:val="2"/>
        <w:ind w:firstLine="480" w:firstLineChars="200"/>
        <w:rPr>
          <w:rFonts w:hint="eastAsia" w:eastAsia="宋体"/>
          <w:lang w:eastAsia="zh-CN"/>
        </w:rPr>
      </w:pPr>
      <w:r>
        <w:t>2020年度一般公共预算财政拨款支出158.83万元，较上年决算数增加3.28万元，增长2.11%。主要原因是</w:t>
      </w:r>
      <w:r>
        <w:rPr>
          <w:rFonts w:hint="eastAsia"/>
          <w:lang w:eastAsia="zh-CN"/>
        </w:rPr>
        <w:t>增加了卫生健康支出</w:t>
      </w:r>
      <w:r>
        <w:rPr>
          <w:rFonts w:hint="eastAsia"/>
          <w:lang w:val="en-US" w:eastAsia="zh-CN"/>
        </w:rPr>
        <w:t>2.35万元，</w:t>
      </w:r>
      <w:r>
        <w:t>主要用于</w:t>
      </w:r>
      <w:r>
        <w:rPr>
          <w:rFonts w:hint="eastAsia"/>
          <w:lang w:eastAsia="zh-CN"/>
        </w:rPr>
        <w:t>职工基本医疗保险和公务员医疗补助。</w:t>
      </w:r>
    </w:p>
    <w:p>
      <w:pPr>
        <w:pStyle w:val="2"/>
        <w:rPr>
          <w:rFonts w:hint="default" w:eastAsia="宋体"/>
          <w:lang w:val="en-US" w:eastAsia="zh-CN"/>
        </w:rPr>
      </w:pPr>
      <w:r>
        <w:rPr>
          <w:rStyle w:val="4"/>
          <w:rFonts w:hint="eastAsia"/>
          <w:lang w:val="en-US" w:eastAsia="zh-CN"/>
        </w:rPr>
        <w:t>1</w:t>
      </w:r>
      <w:r>
        <w:rPr>
          <w:rStyle w:val="4"/>
        </w:rPr>
        <w:t>．文化旅游体育与传媒支出</w:t>
      </w:r>
      <w:r>
        <w:rPr>
          <w:rStyle w:val="4"/>
          <w:rFonts w:hint="eastAsia"/>
          <w:lang w:eastAsia="zh-CN"/>
        </w:rPr>
        <w:t>：</w:t>
      </w:r>
      <w:r>
        <w:t>年初预算数为136.83万元，支出决算为135.30万元，完成年初预算的98.88%,决算数小于预算数的主要原因是</w:t>
      </w:r>
      <w:r>
        <w:rPr>
          <w:rFonts w:hint="eastAsia"/>
          <w:lang w:val="en-US" w:eastAsia="zh-CN"/>
        </w:rPr>
        <w:t>2020年度有退休人员1人，退回财政拨款工资福利支出，调整预算金额，导致决算数小于预算金额。</w:t>
      </w:r>
    </w:p>
    <w:p>
      <w:pPr>
        <w:pStyle w:val="2"/>
        <w:rPr>
          <w:rFonts w:hint="eastAsia" w:eastAsia="宋体"/>
          <w:lang w:eastAsia="zh-CN"/>
        </w:rPr>
      </w:pPr>
      <w:r>
        <w:rPr>
          <w:rStyle w:val="4"/>
          <w:rFonts w:hint="eastAsia"/>
          <w:lang w:val="en-US" w:eastAsia="zh-CN"/>
        </w:rPr>
        <w:t>2</w:t>
      </w:r>
      <w:r>
        <w:rPr>
          <w:rStyle w:val="4"/>
        </w:rPr>
        <w:t>．社会保障和就业支出</w:t>
      </w:r>
      <w:r>
        <w:t>年初预算数为12.20万元，支出决算为12.20万元，完成年初预算的100.00%</w:t>
      </w:r>
      <w:r>
        <w:rPr>
          <w:rFonts w:hint="eastAsia"/>
          <w:lang w:eastAsia="zh-CN"/>
        </w:rPr>
        <w:t>。</w:t>
      </w:r>
    </w:p>
    <w:p>
      <w:pPr>
        <w:pStyle w:val="2"/>
        <w:rPr>
          <w:rFonts w:hint="eastAsia" w:eastAsia="宋体"/>
          <w:lang w:eastAsia="zh-CN"/>
        </w:rPr>
      </w:pPr>
      <w:r>
        <w:rPr>
          <w:rStyle w:val="4"/>
          <w:rFonts w:hint="eastAsia"/>
          <w:lang w:val="en-US" w:eastAsia="zh-CN"/>
        </w:rPr>
        <w:t>3</w:t>
      </w:r>
      <w:r>
        <w:rPr>
          <w:rStyle w:val="4"/>
        </w:rPr>
        <w:t>．卫生健康支出</w:t>
      </w:r>
      <w:r>
        <w:t>年初预算数为5.46万元，支出决算为5.46万元，完成年初预算的100.00%</w:t>
      </w:r>
      <w:r>
        <w:rPr>
          <w:rFonts w:hint="eastAsia"/>
          <w:lang w:eastAsia="zh-CN"/>
        </w:rPr>
        <w:t>。</w:t>
      </w:r>
    </w:p>
    <w:p>
      <w:pPr>
        <w:pStyle w:val="2"/>
        <w:rPr>
          <w:rFonts w:hint="eastAsia" w:eastAsia="宋体"/>
          <w:lang w:eastAsia="zh-CN"/>
        </w:rPr>
      </w:pPr>
      <w:r>
        <w:rPr>
          <w:rStyle w:val="4"/>
          <w:rFonts w:hint="eastAsia"/>
          <w:lang w:val="en-US" w:eastAsia="zh-CN"/>
        </w:rPr>
        <w:t>4</w:t>
      </w:r>
      <w:r>
        <w:rPr>
          <w:rStyle w:val="4"/>
        </w:rPr>
        <w:t>．住房保障支出</w:t>
      </w:r>
      <w:r>
        <w:t>年初预算数为5.87万元，支出决算为5.87万元，完成年初预算的100.00%</w:t>
      </w:r>
      <w:r>
        <w:rPr>
          <w:rFonts w:hint="eastAsia"/>
          <w:lang w:eastAsia="zh-CN"/>
        </w:rPr>
        <w:t>。</w:t>
      </w:r>
    </w:p>
    <w:p>
      <w:pPr>
        <w:pStyle w:val="2"/>
      </w:pPr>
      <w:r>
        <w:t>六、一般公共预算财政拨款基本支出决算情况说明</w:t>
      </w:r>
    </w:p>
    <w:p>
      <w:pPr>
        <w:pStyle w:val="2"/>
        <w:rPr>
          <w:rFonts w:hint="eastAsia"/>
          <w:color w:val="000000" w:themeColor="text1"/>
          <w:lang w:eastAsia="zh-CN"/>
          <w14:textFill>
            <w14:solidFill>
              <w14:schemeClr w14:val="tx1"/>
            </w14:solidFill>
          </w14:textFill>
        </w:rPr>
      </w:pPr>
      <w:r>
        <w:t>2020年度一般公共预算财政拨款基本支出158.83万元。其中：</w:t>
      </w:r>
      <w:r>
        <w:rPr>
          <w:rStyle w:val="4"/>
        </w:rPr>
        <w:t>人员经费</w:t>
      </w:r>
      <w:r>
        <w:t>97.11万元，较上年决算数增加2.19万元，增长2.31%，主要原因是</w:t>
      </w:r>
      <w:r>
        <w:rPr>
          <w:rFonts w:hint="eastAsia"/>
          <w:lang w:eastAsia="zh-CN"/>
        </w:rPr>
        <w:t>增加了公务员医疗补助支出和奖励金支出。</w:t>
      </w:r>
      <w:r>
        <w:t>人员经费用途主要包括</w:t>
      </w:r>
      <w:r>
        <w:rPr>
          <w:rFonts w:hint="eastAsia"/>
          <w:lang w:eastAsia="zh-CN"/>
        </w:rPr>
        <w:t>基本工资、绩效工资、社会保障缴费、行政事业单位医疗、奖励金等。</w:t>
      </w:r>
      <w:r>
        <w:rPr>
          <w:rStyle w:val="4"/>
        </w:rPr>
        <w:t>公用经费</w:t>
      </w:r>
      <w:r>
        <w:t>61.72万元，较上年决算数增加1.09万元，增长1.80%，主要原因是</w:t>
      </w:r>
      <w:r>
        <w:rPr>
          <w:rFonts w:hint="eastAsia"/>
          <w:lang w:eastAsia="zh-CN"/>
        </w:rPr>
        <w:t>印刷费用的增加。</w:t>
      </w:r>
      <w:r>
        <w:t>公用经费用途主要包括</w:t>
      </w:r>
      <w:r>
        <w:rPr>
          <w:rFonts w:hint="eastAsia"/>
          <w:lang w:eastAsia="zh-CN"/>
        </w:rPr>
        <w:t>办公费</w:t>
      </w:r>
      <w:r>
        <w:rPr>
          <w:color w:val="000000" w:themeColor="text1"/>
          <w14:textFill>
            <w14:solidFill>
              <w14:schemeClr w14:val="tx1"/>
            </w14:solidFill>
          </w14:textFill>
        </w:rPr>
        <w:t>、印刷费、</w:t>
      </w:r>
      <w:r>
        <w:rPr>
          <w:rFonts w:hint="eastAsia"/>
          <w:color w:val="000000" w:themeColor="text1"/>
          <w:lang w:eastAsia="zh-CN"/>
          <w14:textFill>
            <w14:solidFill>
              <w14:schemeClr w14:val="tx1"/>
            </w14:solidFill>
          </w14:textFill>
        </w:rPr>
        <w:t>邮电费、差旅费、劳务费、业务委托费等。</w:t>
      </w:r>
    </w:p>
    <w:p>
      <w:pPr>
        <w:pStyle w:val="2"/>
      </w:pPr>
      <w:r>
        <w:t>七、一般公共预算财政拨款“三公”经费支出决算情况说明</w:t>
      </w:r>
    </w:p>
    <w:p>
      <w:pPr>
        <w:pStyle w:val="2"/>
      </w:pPr>
      <w:r>
        <w:rPr>
          <w:rStyle w:val="4"/>
        </w:rPr>
        <w:t>（一）“三公”经费财政拨款支出总体情况说明</w:t>
      </w:r>
    </w:p>
    <w:p>
      <w:pPr>
        <w:pStyle w:val="2"/>
        <w:rPr>
          <w:color w:val="000000" w:themeColor="text1"/>
          <w14:textFill>
            <w14:solidFill>
              <w14:schemeClr w14:val="tx1"/>
            </w14:solidFill>
          </w14:textFill>
        </w:rPr>
      </w:pPr>
      <w:r>
        <w:t>2020年度“三公”经费支出年初预算数为1.03万元，支出决算为0.00万元，完成年初预算的0.00%,决算数小于预算数的主要原因是</w:t>
      </w:r>
      <w:r>
        <w:rPr>
          <w:rFonts w:hint="eastAsia"/>
          <w:lang w:eastAsia="zh-CN"/>
        </w:rPr>
        <w:t>我单位没有公务用车，</w:t>
      </w:r>
      <w:r>
        <w:rPr>
          <w:rFonts w:hint="eastAsia"/>
          <w:color w:val="000000" w:themeColor="text1"/>
          <w:lang w:eastAsia="zh-CN"/>
          <w14:textFill>
            <w14:solidFill>
              <w14:schemeClr w14:val="tx1"/>
            </w14:solidFill>
          </w14:textFill>
        </w:rPr>
        <w:t>不产生公务用车运行维护费及公务接待费</w:t>
      </w:r>
      <w:r>
        <w:rPr>
          <w:color w:val="000000" w:themeColor="text1"/>
          <w14:textFill>
            <w14:solidFill>
              <w14:schemeClr w14:val="tx1"/>
            </w14:solidFill>
          </w14:textFill>
        </w:rPr>
        <w:t>。</w:t>
      </w:r>
    </w:p>
    <w:p>
      <w:pPr>
        <w:pStyle w:val="2"/>
        <w:rPr>
          <w:color w:val="000000" w:themeColor="text1"/>
          <w14:textFill>
            <w14:solidFill>
              <w14:schemeClr w14:val="tx1"/>
            </w14:solidFill>
          </w14:textFill>
        </w:rPr>
      </w:pPr>
      <w:r>
        <w:rPr>
          <w:rStyle w:val="4"/>
          <w:color w:val="000000" w:themeColor="text1"/>
          <w14:textFill>
            <w14:solidFill>
              <w14:schemeClr w14:val="tx1"/>
            </w14:solidFill>
          </w14:textFill>
        </w:rPr>
        <w:t>（二）“三公”经费财政拨款支出决算具体情况说明</w:t>
      </w:r>
    </w:p>
    <w:p>
      <w:pPr>
        <w:pStyle w:val="2"/>
        <w:rPr>
          <w:color w:val="000000" w:themeColor="text1"/>
          <w14:textFill>
            <w14:solidFill>
              <w14:schemeClr w14:val="tx1"/>
            </w14:solidFill>
          </w14:textFill>
        </w:rPr>
      </w:pPr>
      <w:r>
        <w:rPr>
          <w:rStyle w:val="4"/>
          <w:color w:val="000000" w:themeColor="text1"/>
          <w14:textFill>
            <w14:solidFill>
              <w14:schemeClr w14:val="tx1"/>
            </w14:solidFill>
          </w14:textFill>
        </w:rPr>
        <w:t>1.</w:t>
      </w:r>
      <w:r>
        <w:rPr>
          <w:rStyle w:val="4"/>
          <w:rFonts w:hint="eastAsia"/>
          <w:color w:val="000000" w:themeColor="text1"/>
          <w:lang w:val="en-US" w:eastAsia="zh-CN"/>
          <w14:textFill>
            <w14:solidFill>
              <w14:schemeClr w14:val="tx1"/>
            </w14:solidFill>
          </w14:textFill>
        </w:rPr>
        <w:t xml:space="preserve"> </w:t>
      </w:r>
      <w:r>
        <w:rPr>
          <w:rStyle w:val="4"/>
          <w:color w:val="000000" w:themeColor="text1"/>
          <w14:textFill>
            <w14:solidFill>
              <w14:schemeClr w14:val="tx1"/>
            </w14:solidFill>
          </w14:textFill>
        </w:rPr>
        <w:t>公务用车购置及运行维护费</w:t>
      </w:r>
      <w:r>
        <w:rPr>
          <w:color w:val="000000" w:themeColor="text1"/>
          <w14:textFill>
            <w14:solidFill>
              <w14:schemeClr w14:val="tx1"/>
            </w14:solidFill>
          </w14:textFill>
        </w:rPr>
        <w:t>年初预算数为0.94万元，支出决算为0.00万元，完成年初预算的0.00%</w:t>
      </w:r>
      <w:r>
        <w:rPr>
          <w:rFonts w:hint="eastAsia"/>
          <w:color w:val="000000" w:themeColor="text1"/>
          <w:lang w:eastAsia="zh-CN"/>
          <w14:textFill>
            <w14:solidFill>
              <w14:schemeClr w14:val="tx1"/>
            </w14:solidFill>
          </w14:textFill>
        </w:rPr>
        <w:t>，</w:t>
      </w:r>
      <w:r>
        <w:rPr>
          <w:color w:val="000000" w:themeColor="text1"/>
          <w14:textFill>
            <w14:solidFill>
              <w14:schemeClr w14:val="tx1"/>
            </w14:solidFill>
          </w14:textFill>
        </w:rPr>
        <w:t>决算数小于预算数的主要原因是</w:t>
      </w:r>
      <w:r>
        <w:rPr>
          <w:rFonts w:hint="eastAsia"/>
          <w:color w:val="000000" w:themeColor="text1"/>
          <w:lang w:eastAsia="zh-CN"/>
          <w14:textFill>
            <w14:solidFill>
              <w14:schemeClr w14:val="tx1"/>
            </w14:solidFill>
          </w14:textFill>
        </w:rPr>
        <w:t>我单位没有公务用车，不产生公务用车运行维护费</w:t>
      </w:r>
      <w:r>
        <w:rPr>
          <w:color w:val="000000" w:themeColor="text1"/>
          <w14:textFill>
            <w14:solidFill>
              <w14:schemeClr w14:val="tx1"/>
            </w14:solidFill>
          </w14:textFill>
        </w:rPr>
        <w:t>。</w:t>
      </w:r>
    </w:p>
    <w:p>
      <w:pPr>
        <w:pStyle w:val="2"/>
        <w:rPr>
          <w:rFonts w:hint="eastAsia"/>
          <w:color w:val="000000" w:themeColor="text1"/>
          <w:lang w:eastAsia="zh-CN"/>
          <w14:textFill>
            <w14:solidFill>
              <w14:schemeClr w14:val="tx1"/>
            </w14:solidFill>
          </w14:textFill>
        </w:rPr>
      </w:pPr>
      <w:r>
        <w:rPr>
          <w:rStyle w:val="4"/>
          <w:rFonts w:hint="eastAsia"/>
          <w:color w:val="000000" w:themeColor="text1"/>
          <w:lang w:val="en-US" w:eastAsia="zh-CN"/>
          <w14:textFill>
            <w14:solidFill>
              <w14:schemeClr w14:val="tx1"/>
            </w14:solidFill>
          </w14:textFill>
        </w:rPr>
        <w:t>2</w:t>
      </w:r>
      <w:r>
        <w:rPr>
          <w:rStyle w:val="4"/>
          <w:color w:val="000000" w:themeColor="text1"/>
          <w14:textFill>
            <w14:solidFill>
              <w14:schemeClr w14:val="tx1"/>
            </w14:solidFill>
          </w14:textFill>
        </w:rPr>
        <w:t>.公务接待费</w:t>
      </w:r>
      <w:r>
        <w:rPr>
          <w:color w:val="000000" w:themeColor="text1"/>
          <w14:textFill>
            <w14:solidFill>
              <w14:schemeClr w14:val="tx1"/>
            </w14:solidFill>
          </w14:textFill>
        </w:rPr>
        <w:t>年初预算数为0.09万元，支出决算为0.00万元，完成年初预算的0.00%,决算数小于预算数的主要原因是</w:t>
      </w:r>
      <w:r>
        <w:rPr>
          <w:rFonts w:hint="eastAsia"/>
          <w:color w:val="000000" w:themeColor="text1"/>
          <w:lang w:eastAsia="zh-CN"/>
          <w14:textFill>
            <w14:solidFill>
              <w14:schemeClr w14:val="tx1"/>
            </w14:solidFill>
          </w14:textFill>
        </w:rPr>
        <w:t>我单位不产生公务接待费。</w:t>
      </w:r>
    </w:p>
    <w:p>
      <w:pPr>
        <w:pStyle w:val="2"/>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八、机关运行经费支出情况说明</w:t>
      </w:r>
    </w:p>
    <w:p>
      <w:pPr>
        <w:pStyle w:val="2"/>
        <w:ind w:firstLine="480" w:firstLineChars="200"/>
        <w:rPr>
          <w:highlight w:val="none"/>
        </w:rPr>
      </w:pPr>
      <w:r>
        <w:rPr>
          <w:rFonts w:hint="eastAsia"/>
          <w:color w:val="000000" w:themeColor="text1"/>
          <w:highlight w:val="none"/>
          <w:lang w:val="en-US" w:eastAsia="zh-CN"/>
          <w14:textFill>
            <w14:solidFill>
              <w14:schemeClr w14:val="tx1"/>
            </w14:solidFill>
          </w14:textFill>
        </w:rPr>
        <w:t>2019年度培训费支出0.65万元，2020年度</w:t>
      </w:r>
      <w:r>
        <w:rPr>
          <w:color w:val="000000" w:themeColor="text1"/>
          <w:highlight w:val="none"/>
          <w14:textFill>
            <w14:solidFill>
              <w14:schemeClr w14:val="tx1"/>
            </w14:solidFill>
          </w14:textFill>
        </w:rPr>
        <w:t>培训</w:t>
      </w:r>
      <w:r>
        <w:rPr>
          <w:highlight w:val="none"/>
        </w:rPr>
        <w:t>费支出0.22万元，较上年决算数减少0.43万元，下降67.19%，主要原因是</w:t>
      </w:r>
      <w:r>
        <w:rPr>
          <w:rFonts w:hint="eastAsia"/>
          <w:highlight w:val="none"/>
          <w:lang w:val="en-US" w:eastAsia="zh-CN"/>
        </w:rPr>
        <w:t>2020年度没有产生省外培训费用。</w:t>
      </w:r>
    </w:p>
    <w:p>
      <w:pPr>
        <w:pStyle w:val="2"/>
        <w:jc w:val="center"/>
      </w:pPr>
      <w:r>
        <w:rPr>
          <w:rStyle w:val="4"/>
        </w:rPr>
        <w:t>第四部分  名词解释</w:t>
      </w:r>
    </w:p>
    <w:p>
      <w:pPr>
        <w:pStyle w:val="2"/>
      </w:pPr>
      <w:r>
        <w:t>以下为常见专业名词解释目录，仅供参考，部门应根据实际情况进行解释和增减。比如可将类级功能科目和经济科目细化解释到项级。若有删减注意调整段落序号。</w:t>
      </w:r>
    </w:p>
    <w:p>
      <w:pPr>
        <w:pStyle w:val="2"/>
      </w:pPr>
      <w:r>
        <w:rPr>
          <w:rStyle w:val="4"/>
        </w:rPr>
        <w:t>一、财政拨款收入</w:t>
      </w:r>
      <w:r>
        <w:t>：指本年度从本级财政部门取得的财政拨款，包括一般公共预算财政拨款和政府性基金预算财政拨款。</w:t>
      </w:r>
    </w:p>
    <w:p>
      <w:pPr>
        <w:pStyle w:val="2"/>
      </w:pPr>
      <w:r>
        <w:rPr>
          <w:rStyle w:val="4"/>
        </w:rPr>
        <w:t>二、事业收入</w:t>
      </w:r>
      <w:r>
        <w:t>：指事业单位开展专业业务活动及其辅助活动取得的现金流入；事业单位收到的财政专户实际核拨的教育收费等资金在此反映。</w:t>
      </w:r>
    </w:p>
    <w:p>
      <w:pPr>
        <w:pStyle w:val="2"/>
      </w:pPr>
      <w:r>
        <w:rPr>
          <w:rStyle w:val="4"/>
        </w:rPr>
        <w:t>三、经营收入</w:t>
      </w:r>
      <w:r>
        <w:t>：指事业单位在专业业务活动及其辅助活动之外开展非独立核算经营活动取得的现金流入。</w:t>
      </w:r>
    </w:p>
    <w:p>
      <w:pPr>
        <w:pStyle w:val="2"/>
      </w:pPr>
      <w:r>
        <w:rPr>
          <w:rStyle w:val="4"/>
        </w:rPr>
        <w:t>四、其他收入</w:t>
      </w:r>
      <w:r>
        <w:t>：指单位取得的除“财政拨款收入”、“事业收入”、“经营收入”等以外 的收入，包括未纳入财政预算或财政专户管理的投资收益、银行存款利息收入、租金收入、捐赠收入，现金盘盈收入、存货盘盈收入、收回已核销的应收及预付款 项、无法偿付的应付及预收款项等。各单位从本级财政部门以外的同级单位取得的经费、从非本级财政部门取得的经费，以及行政单位收到的财政专户管理资金反映 在本项内。</w:t>
      </w:r>
    </w:p>
    <w:p>
      <w:pPr>
        <w:pStyle w:val="2"/>
      </w:pPr>
      <w:r>
        <w:rPr>
          <w:rStyle w:val="4"/>
        </w:rPr>
        <w:t>五、用事业基金弥补收支差额</w:t>
      </w:r>
      <w: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2"/>
      </w:pPr>
      <w:r>
        <w:rPr>
          <w:rStyle w:val="4"/>
        </w:rPr>
        <w:t>六、年初结转和结余</w:t>
      </w:r>
      <w:r>
        <w:t>：指单位上年结转本年使用的基本支出结转、项目支出结转和结余、经营结余。</w:t>
      </w:r>
    </w:p>
    <w:p>
      <w:pPr>
        <w:pStyle w:val="2"/>
      </w:pPr>
      <w:r>
        <w:rPr>
          <w:rStyle w:val="4"/>
        </w:rPr>
        <w:t>七、结余分配</w:t>
      </w:r>
      <w:r>
        <w:t>：指单位按照国家有关规定，缴纳所得税、提取专用基金、转入事业基金等当年结余的分配情况。</w:t>
      </w:r>
    </w:p>
    <w:p>
      <w:pPr>
        <w:pStyle w:val="2"/>
      </w:pPr>
      <w:r>
        <w:rPr>
          <w:rStyle w:val="4"/>
        </w:rPr>
        <w:t>八、年末结转和结余</w:t>
      </w:r>
      <w:r>
        <w:t>：指单位结转下年的基本支出结转、项目支出结转和结余、经营结余。</w:t>
      </w:r>
    </w:p>
    <w:p>
      <w:pPr>
        <w:pStyle w:val="2"/>
      </w:pPr>
      <w:r>
        <w:rPr>
          <w:rStyle w:val="4"/>
        </w:rPr>
        <w:t>九、基本支出</w:t>
      </w:r>
      <w: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2"/>
      </w:pPr>
      <w:r>
        <w:rPr>
          <w:rStyle w:val="4"/>
        </w:rPr>
        <w:t>十、项目支出</w:t>
      </w:r>
      <w:r>
        <w:t>：指在基本支出之外为完成特定行政任务和事业发展目标所发生的支出。</w:t>
      </w:r>
    </w:p>
    <w:p>
      <w:pPr>
        <w:pStyle w:val="2"/>
      </w:pPr>
      <w:r>
        <w:rPr>
          <w:rStyle w:val="4"/>
        </w:rPr>
        <w:t>十一、经营支出</w:t>
      </w:r>
      <w:r>
        <w:t>：指事业单位在专业业务活动及其辅助活动之外开展非独立核算经营活动发生的支出。</w:t>
      </w:r>
    </w:p>
    <w:p>
      <w:pPr>
        <w:pStyle w:val="2"/>
      </w:pPr>
      <w:r>
        <w:rPr>
          <w:rStyle w:val="4"/>
        </w:rPr>
        <w:t>十二、“三公”经费</w:t>
      </w:r>
      <w:r>
        <w:t>： 指用一般公共预算财政拨款安排的因公出国（境）费、公务用车购置及运行维护费、公务接待费。其中，因公出国（境）费反映单位公务出国（境）的国际旅费、国 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2"/>
      </w:pPr>
      <w:r>
        <w:rPr>
          <w:rStyle w:val="4"/>
        </w:rPr>
        <w:t>十三、机关运行经费</w:t>
      </w:r>
      <w:r>
        <w:t>：为保障行政单位（含参照公务员法管理的事业单位）运行用于购买 货物和服务等的各项公用经费，包括办公及印刷费、邮电费、差旅费、会议费、福利费、日常维护费、专用材料及一般设备购置费、办公用房水电费、办公用房取暖 费、办公用房物业管理费、公务用车运行维护费以及其他费用。</w:t>
      </w:r>
    </w:p>
    <w:p>
      <w:pPr>
        <w:pStyle w:val="2"/>
      </w:pPr>
      <w:r>
        <w:rPr>
          <w:rStyle w:val="4"/>
        </w:rPr>
        <w:t>十四、工资福利支出</w:t>
      </w:r>
      <w:r>
        <w:t>（支出经济分类科目类级）：反映单位开支的在职职工和编制外长期聘用人员的各类劳动报酬，以及为上述人员缴纳的各项社会保险费等。</w:t>
      </w:r>
    </w:p>
    <w:p>
      <w:pPr>
        <w:pStyle w:val="2"/>
      </w:pPr>
      <w:r>
        <w:rPr>
          <w:rStyle w:val="4"/>
        </w:rPr>
        <w:t>十五、商品和服务支出（支出经济分类科目类级）</w:t>
      </w:r>
      <w:r>
        <w:t>：反映单位购买商品和服务的支出（不包括用于购置固定资产的支出、战略性和应急储备支出）。</w:t>
      </w:r>
    </w:p>
    <w:p>
      <w:pPr>
        <w:pStyle w:val="2"/>
      </w:pPr>
      <w:r>
        <w:rPr>
          <w:rStyle w:val="4"/>
        </w:rPr>
        <w:t>十六、对个人和家庭的补助（支出经济分类科目类级）</w:t>
      </w:r>
      <w:r>
        <w:t>：反映用于对个人和家庭的补助支出。</w:t>
      </w:r>
    </w:p>
    <w:p>
      <w:pPr>
        <w:pStyle w:val="2"/>
      </w:pPr>
      <w:r>
        <w:rPr>
          <w:rStyle w:val="4"/>
        </w:rPr>
        <w:t>十七、其他资本性支出（支出经济分类科目类级）</w:t>
      </w:r>
      <w:r>
        <w:t>：反映非各级发展与改革部门集中安排的用于购置固定资产、战略性和应急性储备、土地和无形资产，以及构建基础设施、大型修缮和财政支持企业更新改造所发生的支出。</w:t>
      </w:r>
    </w:p>
    <w:p>
      <w:pPr>
        <w:pStyle w:val="2"/>
        <w:jc w:val="center"/>
      </w:pPr>
      <w:r>
        <w:t> </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bookmarkStart w:id="0" w:name="_GoBack"/>
      <w:bookmarkEnd w:id="0"/>
    </w:p>
    <w:p>
      <w:pPr>
        <w:ind w:firstLine="3780" w:firstLineChars="1800"/>
        <w:rPr>
          <w:rFonts w:hint="eastAsia"/>
          <w:lang w:eastAsia="zh-CN"/>
        </w:rPr>
      </w:pPr>
    </w:p>
    <w:p>
      <w:pPr>
        <w:ind w:firstLine="3780" w:firstLineChars="1800"/>
        <w:rPr>
          <w:rFonts w:hint="eastAsia"/>
          <w:lang w:eastAsia="zh-CN"/>
        </w:rPr>
      </w:pPr>
    </w:p>
    <w:p>
      <w:pPr>
        <w:ind w:firstLine="3780" w:firstLineChars="1800"/>
        <w:rPr>
          <w:rFonts w:hint="eastAsia"/>
          <w:lang w:eastAsia="zh-CN"/>
        </w:rPr>
      </w:pPr>
    </w:p>
    <w:p>
      <w:pPr>
        <w:ind w:firstLine="3780" w:firstLineChars="1800"/>
        <w:rPr>
          <w:rFonts w:hint="eastAsia"/>
          <w:lang w:eastAsia="zh-CN"/>
        </w:rPr>
        <w:sectPr>
          <w:pgSz w:w="11906" w:h="16838"/>
          <w:pgMar w:top="1440" w:right="1800" w:bottom="1440" w:left="1800" w:header="851" w:footer="992" w:gutter="0"/>
          <w:cols w:space="425" w:num="1"/>
          <w:docGrid w:type="lines" w:linePitch="312" w:charSpace="0"/>
        </w:sectPr>
      </w:pPr>
    </w:p>
    <w:tbl>
      <w:tblPr>
        <w:tblStyle w:val="5"/>
        <w:tblW w:w="138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221"/>
        <w:gridCol w:w="467"/>
        <w:gridCol w:w="3261"/>
        <w:gridCol w:w="3210"/>
        <w:gridCol w:w="467"/>
        <w:gridCol w:w="3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13888" w:type="dxa"/>
            <w:gridSpan w:val="6"/>
            <w:shd w:val="clear" w:color="auto" w:fill="FFFFFF"/>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21" w:type="dxa"/>
            <w:shd w:val="clear" w:color="auto" w:fill="FFFFFF"/>
            <w:vAlign w:val="center"/>
          </w:tcPr>
          <w:p>
            <w:pPr>
              <w:jc w:val="left"/>
              <w:rPr>
                <w:rFonts w:hint="eastAsia" w:ascii="宋体" w:hAnsi="宋体" w:eastAsia="宋体" w:cs="宋体"/>
                <w:i w:val="0"/>
                <w:color w:val="000000"/>
                <w:sz w:val="18"/>
                <w:szCs w:val="18"/>
                <w:u w:val="none"/>
              </w:rPr>
            </w:pPr>
          </w:p>
        </w:tc>
        <w:tc>
          <w:tcPr>
            <w:tcW w:w="467" w:type="dxa"/>
            <w:shd w:val="clear" w:color="auto" w:fill="FFFFFF"/>
            <w:vAlign w:val="center"/>
          </w:tcPr>
          <w:p>
            <w:pPr>
              <w:jc w:val="left"/>
              <w:rPr>
                <w:rFonts w:hint="eastAsia" w:ascii="宋体" w:hAnsi="宋体" w:eastAsia="宋体" w:cs="宋体"/>
                <w:i w:val="0"/>
                <w:color w:val="000000"/>
                <w:sz w:val="18"/>
                <w:szCs w:val="18"/>
                <w:u w:val="none"/>
              </w:rPr>
            </w:pPr>
          </w:p>
        </w:tc>
        <w:tc>
          <w:tcPr>
            <w:tcW w:w="3261" w:type="dxa"/>
            <w:shd w:val="clear" w:color="auto" w:fill="FFFFFF"/>
            <w:vAlign w:val="center"/>
          </w:tcPr>
          <w:p>
            <w:pPr>
              <w:jc w:val="left"/>
              <w:rPr>
                <w:rFonts w:hint="eastAsia" w:ascii="宋体" w:hAnsi="宋体" w:eastAsia="宋体" w:cs="宋体"/>
                <w:i w:val="0"/>
                <w:color w:val="000000"/>
                <w:sz w:val="18"/>
                <w:szCs w:val="18"/>
                <w:u w:val="none"/>
              </w:rPr>
            </w:pPr>
          </w:p>
        </w:tc>
        <w:tc>
          <w:tcPr>
            <w:tcW w:w="3210" w:type="dxa"/>
            <w:shd w:val="clear" w:color="auto" w:fill="FFFFFF"/>
            <w:vAlign w:val="center"/>
          </w:tcPr>
          <w:p>
            <w:pPr>
              <w:jc w:val="left"/>
              <w:rPr>
                <w:rFonts w:hint="eastAsia" w:ascii="宋体" w:hAnsi="宋体" w:eastAsia="宋体" w:cs="宋体"/>
                <w:i w:val="0"/>
                <w:color w:val="000000"/>
                <w:sz w:val="18"/>
                <w:szCs w:val="18"/>
                <w:u w:val="none"/>
              </w:rPr>
            </w:pPr>
          </w:p>
        </w:tc>
        <w:tc>
          <w:tcPr>
            <w:tcW w:w="467" w:type="dxa"/>
            <w:shd w:val="clear" w:color="auto" w:fill="FFFFFF"/>
            <w:vAlign w:val="center"/>
          </w:tcPr>
          <w:p>
            <w:pPr>
              <w:jc w:val="left"/>
              <w:rPr>
                <w:rFonts w:hint="eastAsia" w:ascii="宋体" w:hAnsi="宋体" w:eastAsia="宋体" w:cs="宋体"/>
                <w:i w:val="0"/>
                <w:color w:val="000000"/>
                <w:sz w:val="18"/>
                <w:szCs w:val="18"/>
                <w:u w:val="none"/>
              </w:rPr>
            </w:pPr>
          </w:p>
        </w:tc>
        <w:tc>
          <w:tcPr>
            <w:tcW w:w="3262"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公开01表</w:t>
            </w:r>
          </w:p>
        </w:tc>
      </w:tr>
      <w:tr>
        <w:tblPrEx>
          <w:tblLayout w:type="fixed"/>
          <w:tblCellMar>
            <w:top w:w="15" w:type="dxa"/>
            <w:left w:w="15" w:type="dxa"/>
            <w:bottom w:w="15" w:type="dxa"/>
            <w:right w:w="15" w:type="dxa"/>
          </w:tblCellMar>
        </w:tblPrEx>
        <w:trPr>
          <w:trHeight w:val="300" w:hRule="atLeast"/>
        </w:trPr>
        <w:tc>
          <w:tcPr>
            <w:tcW w:w="3221" w:type="dxa"/>
            <w:tcBorders>
              <w:bottom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部门：甘肃省人民代表大会常务委员会人民之声报社</w:t>
            </w:r>
          </w:p>
        </w:tc>
        <w:tc>
          <w:tcPr>
            <w:tcW w:w="467"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3261" w:type="dxa"/>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2020年度</w:t>
            </w:r>
          </w:p>
        </w:tc>
        <w:tc>
          <w:tcPr>
            <w:tcW w:w="3210"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467"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3262" w:type="dxa"/>
            <w:tcBorders>
              <w:bottom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6949"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6939"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326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326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467" w:type="dxa"/>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326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467" w:type="dxa"/>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326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一、一般公共预算财政拨款收入</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26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158.83</w:t>
            </w: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32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二、政府性基金预算财政拨款收入</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26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32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三、国有资本经营预算财政拨款收入</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26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32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四、上级补助收入</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26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32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五、事业收入</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26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85.53</w:t>
            </w: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32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六、经营收入</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26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32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七、附属单位上缴收入</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26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326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八、其他收入</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326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326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326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326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26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32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326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32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326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32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326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32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326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十四、资源勘探工业信息等支出</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32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326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32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326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32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326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32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326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32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326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326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326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32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326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二十一、国有资本经营预算支出</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32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326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二十二、灾害防治及应急管理支出</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32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326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二十三、其他支出</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32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i w:val="0"/>
                <w:color w:val="000000"/>
                <w:sz w:val="20"/>
                <w:szCs w:val="20"/>
                <w:u w:val="none"/>
              </w:rPr>
            </w:pP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326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二十四、债务还本支出</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32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326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二十五、债务付息支出</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32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326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二十六、抗疫特别国债安排的支出</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32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326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244.36</w:t>
            </w: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326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使用非财政拨款结余</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326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结余分配</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32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年初结转和结余</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326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143.38</w:t>
            </w: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年末结转和结余</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326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156.82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326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210" w:type="dxa"/>
            <w:tcBorders>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3262" w:type="dxa"/>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467" w:type="dxa"/>
            <w:tcBorders>
              <w:bottom w:val="single" w:color="000000" w:sz="18"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326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387.74</w:t>
            </w: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326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387.74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3888" w:type="dxa"/>
            <w:gridSpan w:val="6"/>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注：本表反映部门本年度的总收支和年末结转结余情况。本套报表金额单位转换时可能存在尾数误差。</w:t>
            </w:r>
          </w:p>
        </w:tc>
      </w:tr>
    </w:tbl>
    <w:p>
      <w:pPr>
        <w:jc w:val="left"/>
        <w:rPr>
          <w:rFonts w:hint="eastAsia"/>
          <w:lang w:eastAsia="zh-CN"/>
        </w:rPr>
      </w:pPr>
    </w:p>
    <w:p>
      <w:pPr>
        <w:ind w:firstLine="3780" w:firstLineChars="1800"/>
        <w:rPr>
          <w:rFonts w:hint="eastAsia"/>
          <w:lang w:eastAsia="zh-CN"/>
        </w:rPr>
      </w:pPr>
    </w:p>
    <w:p>
      <w:pPr>
        <w:ind w:firstLine="3780" w:firstLineChars="1800"/>
        <w:rPr>
          <w:rFonts w:hint="eastAsia"/>
          <w:lang w:eastAsia="zh-CN"/>
        </w:rPr>
      </w:pPr>
    </w:p>
    <w:p>
      <w:pPr>
        <w:ind w:firstLine="3780" w:firstLineChars="1800"/>
        <w:rPr>
          <w:rFonts w:hint="default"/>
          <w:lang w:val="en-US" w:eastAsia="zh-CN"/>
        </w:rPr>
      </w:pPr>
    </w:p>
    <w:p>
      <w:pPr>
        <w:ind w:firstLine="3780" w:firstLineChars="1800"/>
        <w:rPr>
          <w:rFonts w:hint="default"/>
          <w:lang w:val="en-US" w:eastAsia="zh-CN"/>
        </w:rPr>
      </w:pPr>
    </w:p>
    <w:p>
      <w:pPr>
        <w:ind w:firstLine="3780" w:firstLineChars="1800"/>
        <w:rPr>
          <w:rFonts w:hint="default"/>
          <w:lang w:val="en-US" w:eastAsia="zh-CN"/>
        </w:rPr>
      </w:pPr>
    </w:p>
    <w:p>
      <w:pPr>
        <w:rPr>
          <w:rFonts w:hint="default"/>
          <w:lang w:val="en-US" w:eastAsia="zh-CN"/>
        </w:rPr>
      </w:pPr>
    </w:p>
    <w:tbl>
      <w:tblPr>
        <w:tblStyle w:val="5"/>
        <w:tblW w:w="138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8"/>
        <w:gridCol w:w="963"/>
        <w:gridCol w:w="962"/>
        <w:gridCol w:w="3910"/>
        <w:gridCol w:w="1792"/>
        <w:gridCol w:w="968"/>
        <w:gridCol w:w="963"/>
        <w:gridCol w:w="968"/>
        <w:gridCol w:w="962"/>
        <w:gridCol w:w="963"/>
        <w:gridCol w:w="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13887" w:type="dxa"/>
            <w:gridSpan w:val="11"/>
            <w:shd w:val="clear" w:color="auto" w:fill="FFFFFF"/>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78" w:type="dxa"/>
            <w:shd w:val="clear" w:color="auto" w:fill="FFFFFF"/>
            <w:vAlign w:val="center"/>
          </w:tcPr>
          <w:p>
            <w:pPr>
              <w:jc w:val="left"/>
              <w:rPr>
                <w:rFonts w:hint="eastAsia" w:ascii="宋体" w:hAnsi="宋体" w:eastAsia="宋体" w:cs="宋体"/>
                <w:i w:val="0"/>
                <w:color w:val="000000"/>
                <w:sz w:val="18"/>
                <w:szCs w:val="18"/>
                <w:u w:val="none"/>
              </w:rPr>
            </w:pPr>
          </w:p>
        </w:tc>
        <w:tc>
          <w:tcPr>
            <w:tcW w:w="963" w:type="dxa"/>
            <w:shd w:val="clear" w:color="auto" w:fill="FFFFFF"/>
            <w:vAlign w:val="center"/>
          </w:tcPr>
          <w:p>
            <w:pPr>
              <w:jc w:val="left"/>
              <w:rPr>
                <w:rFonts w:hint="eastAsia" w:ascii="宋体" w:hAnsi="宋体" w:eastAsia="宋体" w:cs="宋体"/>
                <w:i w:val="0"/>
                <w:color w:val="000000"/>
                <w:sz w:val="18"/>
                <w:szCs w:val="18"/>
                <w:u w:val="none"/>
              </w:rPr>
            </w:pPr>
          </w:p>
        </w:tc>
        <w:tc>
          <w:tcPr>
            <w:tcW w:w="962" w:type="dxa"/>
            <w:shd w:val="clear" w:color="auto" w:fill="FFFFFF"/>
            <w:vAlign w:val="center"/>
          </w:tcPr>
          <w:p>
            <w:pPr>
              <w:jc w:val="left"/>
              <w:rPr>
                <w:rFonts w:hint="eastAsia" w:ascii="宋体" w:hAnsi="宋体" w:eastAsia="宋体" w:cs="宋体"/>
                <w:i w:val="0"/>
                <w:color w:val="000000"/>
                <w:sz w:val="18"/>
                <w:szCs w:val="18"/>
                <w:u w:val="none"/>
              </w:rPr>
            </w:pPr>
          </w:p>
        </w:tc>
        <w:tc>
          <w:tcPr>
            <w:tcW w:w="3910" w:type="dxa"/>
            <w:shd w:val="clear" w:color="auto" w:fill="FFFFFF"/>
            <w:vAlign w:val="center"/>
          </w:tcPr>
          <w:p>
            <w:pPr>
              <w:jc w:val="left"/>
              <w:rPr>
                <w:rFonts w:hint="eastAsia" w:ascii="宋体" w:hAnsi="宋体" w:eastAsia="宋体" w:cs="宋体"/>
                <w:i w:val="0"/>
                <w:color w:val="000000"/>
                <w:sz w:val="18"/>
                <w:szCs w:val="18"/>
                <w:u w:val="none"/>
              </w:rPr>
            </w:pPr>
          </w:p>
        </w:tc>
        <w:tc>
          <w:tcPr>
            <w:tcW w:w="1792" w:type="dxa"/>
            <w:shd w:val="clear" w:color="auto" w:fill="FFFFFF"/>
            <w:vAlign w:val="center"/>
          </w:tcPr>
          <w:p>
            <w:pPr>
              <w:jc w:val="left"/>
              <w:rPr>
                <w:rFonts w:hint="eastAsia" w:ascii="宋体" w:hAnsi="宋体" w:eastAsia="宋体" w:cs="宋体"/>
                <w:i w:val="0"/>
                <w:color w:val="000000"/>
                <w:sz w:val="18"/>
                <w:szCs w:val="18"/>
                <w:u w:val="none"/>
              </w:rPr>
            </w:pPr>
          </w:p>
        </w:tc>
        <w:tc>
          <w:tcPr>
            <w:tcW w:w="968" w:type="dxa"/>
            <w:shd w:val="clear" w:color="auto" w:fill="FFFFFF"/>
            <w:vAlign w:val="center"/>
          </w:tcPr>
          <w:p>
            <w:pPr>
              <w:jc w:val="left"/>
              <w:rPr>
                <w:rFonts w:hint="eastAsia" w:ascii="宋体" w:hAnsi="宋体" w:eastAsia="宋体" w:cs="宋体"/>
                <w:i w:val="0"/>
                <w:color w:val="000000"/>
                <w:sz w:val="18"/>
                <w:szCs w:val="18"/>
                <w:u w:val="none"/>
              </w:rPr>
            </w:pPr>
          </w:p>
        </w:tc>
        <w:tc>
          <w:tcPr>
            <w:tcW w:w="963" w:type="dxa"/>
            <w:shd w:val="clear" w:color="auto" w:fill="FFFFFF"/>
            <w:vAlign w:val="center"/>
          </w:tcPr>
          <w:p>
            <w:pPr>
              <w:jc w:val="left"/>
              <w:rPr>
                <w:rFonts w:hint="eastAsia" w:ascii="宋体" w:hAnsi="宋体" w:eastAsia="宋体" w:cs="宋体"/>
                <w:i w:val="0"/>
                <w:color w:val="000000"/>
                <w:sz w:val="18"/>
                <w:szCs w:val="18"/>
                <w:u w:val="none"/>
              </w:rPr>
            </w:pPr>
          </w:p>
        </w:tc>
        <w:tc>
          <w:tcPr>
            <w:tcW w:w="968" w:type="dxa"/>
            <w:shd w:val="clear" w:color="auto" w:fill="FFFFFF"/>
            <w:vAlign w:val="center"/>
          </w:tcPr>
          <w:p>
            <w:pPr>
              <w:jc w:val="left"/>
              <w:rPr>
                <w:rFonts w:hint="eastAsia" w:ascii="宋体" w:hAnsi="宋体" w:eastAsia="宋体" w:cs="宋体"/>
                <w:i w:val="0"/>
                <w:color w:val="000000"/>
                <w:sz w:val="18"/>
                <w:szCs w:val="18"/>
                <w:u w:val="none"/>
              </w:rPr>
            </w:pPr>
          </w:p>
        </w:tc>
        <w:tc>
          <w:tcPr>
            <w:tcW w:w="962" w:type="dxa"/>
            <w:shd w:val="clear" w:color="auto" w:fill="FFFFFF"/>
            <w:vAlign w:val="center"/>
          </w:tcPr>
          <w:p>
            <w:pPr>
              <w:jc w:val="left"/>
              <w:rPr>
                <w:rFonts w:hint="eastAsia" w:ascii="宋体" w:hAnsi="宋体" w:eastAsia="宋体" w:cs="宋体"/>
                <w:i w:val="0"/>
                <w:color w:val="000000"/>
                <w:sz w:val="18"/>
                <w:szCs w:val="18"/>
                <w:u w:val="none"/>
              </w:rPr>
            </w:pPr>
          </w:p>
        </w:tc>
        <w:tc>
          <w:tcPr>
            <w:tcW w:w="963" w:type="dxa"/>
            <w:shd w:val="clear" w:color="auto" w:fill="FFFFFF"/>
            <w:vAlign w:val="center"/>
          </w:tcPr>
          <w:p>
            <w:pPr>
              <w:jc w:val="left"/>
              <w:rPr>
                <w:rFonts w:hint="eastAsia" w:ascii="宋体" w:hAnsi="宋体" w:eastAsia="宋体" w:cs="宋体"/>
                <w:i w:val="0"/>
                <w:color w:val="000000"/>
                <w:sz w:val="18"/>
                <w:szCs w:val="18"/>
                <w:u w:val="none"/>
              </w:rPr>
            </w:pPr>
          </w:p>
        </w:tc>
        <w:tc>
          <w:tcPr>
            <w:tcW w:w="958"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403" w:type="dxa"/>
            <w:gridSpan w:val="3"/>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部门：甘肃省人民代表大会常务委员会人民之声报社</w:t>
            </w:r>
          </w:p>
        </w:tc>
        <w:tc>
          <w:tcPr>
            <w:tcW w:w="3910"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792"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968" w:type="dxa"/>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2020年度</w:t>
            </w:r>
          </w:p>
        </w:tc>
        <w:tc>
          <w:tcPr>
            <w:tcW w:w="963"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968"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962"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963"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958" w:type="dxa"/>
            <w:tcBorders>
              <w:bottom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313"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792"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968"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963"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上级补助收入</w:t>
            </w:r>
          </w:p>
        </w:tc>
        <w:tc>
          <w:tcPr>
            <w:tcW w:w="968"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962"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经营收入</w:t>
            </w:r>
          </w:p>
        </w:tc>
        <w:tc>
          <w:tcPr>
            <w:tcW w:w="963"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附属单位上缴收入</w:t>
            </w:r>
          </w:p>
        </w:tc>
        <w:tc>
          <w:tcPr>
            <w:tcW w:w="958"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403" w:type="dxa"/>
            <w:gridSpan w:val="3"/>
            <w:vMerge w:val="restart"/>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3910"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792"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68"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63"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68"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62"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63"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58"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403" w:type="dxa"/>
            <w:gridSpan w:val="3"/>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3910"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792"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68"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63"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68"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62"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63"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58"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403" w:type="dxa"/>
            <w:gridSpan w:val="3"/>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3910"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792"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68"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63"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68"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62"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63"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58"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6313"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79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6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6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6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96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6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95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313"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79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244.36</w:t>
            </w:r>
          </w:p>
        </w:tc>
        <w:tc>
          <w:tcPr>
            <w:tcW w:w="96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158.83</w:t>
            </w:r>
          </w:p>
        </w:tc>
        <w:tc>
          <w:tcPr>
            <w:tcW w:w="96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96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85.53</w:t>
            </w:r>
          </w:p>
        </w:tc>
        <w:tc>
          <w:tcPr>
            <w:tcW w:w="9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96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95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403"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207</w:t>
            </w:r>
          </w:p>
        </w:tc>
        <w:tc>
          <w:tcPr>
            <w:tcW w:w="39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文化旅游体育与传媒支出</w:t>
            </w:r>
          </w:p>
        </w:tc>
        <w:tc>
          <w:tcPr>
            <w:tcW w:w="179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220.83</w:t>
            </w:r>
          </w:p>
        </w:tc>
        <w:tc>
          <w:tcPr>
            <w:tcW w:w="96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135.30</w:t>
            </w:r>
          </w:p>
        </w:tc>
        <w:tc>
          <w:tcPr>
            <w:tcW w:w="963"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6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85.53</w:t>
            </w:r>
          </w:p>
        </w:tc>
        <w:tc>
          <w:tcPr>
            <w:tcW w:w="962"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63"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58"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403"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20706</w:t>
            </w:r>
          </w:p>
        </w:tc>
        <w:tc>
          <w:tcPr>
            <w:tcW w:w="39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新闻出版电影</w:t>
            </w:r>
          </w:p>
        </w:tc>
        <w:tc>
          <w:tcPr>
            <w:tcW w:w="179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220.83</w:t>
            </w:r>
          </w:p>
        </w:tc>
        <w:tc>
          <w:tcPr>
            <w:tcW w:w="96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135.30</w:t>
            </w:r>
          </w:p>
        </w:tc>
        <w:tc>
          <w:tcPr>
            <w:tcW w:w="963"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6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85.53</w:t>
            </w:r>
          </w:p>
        </w:tc>
        <w:tc>
          <w:tcPr>
            <w:tcW w:w="962"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63"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58"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403"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2070605</w:t>
            </w:r>
          </w:p>
        </w:tc>
        <w:tc>
          <w:tcPr>
            <w:tcW w:w="3910"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出版发行</w:t>
            </w:r>
          </w:p>
        </w:tc>
        <w:tc>
          <w:tcPr>
            <w:tcW w:w="179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220.83</w:t>
            </w:r>
          </w:p>
        </w:tc>
        <w:tc>
          <w:tcPr>
            <w:tcW w:w="96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135.30</w:t>
            </w:r>
          </w:p>
        </w:tc>
        <w:tc>
          <w:tcPr>
            <w:tcW w:w="96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6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85.53</w:t>
            </w:r>
          </w:p>
        </w:tc>
        <w:tc>
          <w:tcPr>
            <w:tcW w:w="9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6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5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403"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w:t>
            </w:r>
          </w:p>
        </w:tc>
        <w:tc>
          <w:tcPr>
            <w:tcW w:w="39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社会保障和就业支出</w:t>
            </w:r>
          </w:p>
        </w:tc>
        <w:tc>
          <w:tcPr>
            <w:tcW w:w="179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12.20</w:t>
            </w:r>
          </w:p>
        </w:tc>
        <w:tc>
          <w:tcPr>
            <w:tcW w:w="96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12.20</w:t>
            </w:r>
          </w:p>
        </w:tc>
        <w:tc>
          <w:tcPr>
            <w:tcW w:w="963"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68"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62"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63"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58"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403"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20805</w:t>
            </w:r>
          </w:p>
        </w:tc>
        <w:tc>
          <w:tcPr>
            <w:tcW w:w="39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行政事业单位养老支出</w:t>
            </w:r>
          </w:p>
        </w:tc>
        <w:tc>
          <w:tcPr>
            <w:tcW w:w="179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12.10</w:t>
            </w:r>
          </w:p>
        </w:tc>
        <w:tc>
          <w:tcPr>
            <w:tcW w:w="96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12.10</w:t>
            </w:r>
          </w:p>
        </w:tc>
        <w:tc>
          <w:tcPr>
            <w:tcW w:w="963"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68"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62"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63"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58"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403"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2080505</w:t>
            </w:r>
          </w:p>
        </w:tc>
        <w:tc>
          <w:tcPr>
            <w:tcW w:w="3910"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179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8.07</w:t>
            </w:r>
          </w:p>
        </w:tc>
        <w:tc>
          <w:tcPr>
            <w:tcW w:w="96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8.07</w:t>
            </w:r>
          </w:p>
        </w:tc>
        <w:tc>
          <w:tcPr>
            <w:tcW w:w="96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6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6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5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403"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2080506</w:t>
            </w:r>
          </w:p>
        </w:tc>
        <w:tc>
          <w:tcPr>
            <w:tcW w:w="3910"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机关事业单位职业年金缴费支出</w:t>
            </w:r>
          </w:p>
        </w:tc>
        <w:tc>
          <w:tcPr>
            <w:tcW w:w="179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w:t>
            </w:r>
          </w:p>
        </w:tc>
        <w:tc>
          <w:tcPr>
            <w:tcW w:w="96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w:t>
            </w:r>
          </w:p>
        </w:tc>
        <w:tc>
          <w:tcPr>
            <w:tcW w:w="96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6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6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5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403"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20899</w:t>
            </w:r>
          </w:p>
        </w:tc>
        <w:tc>
          <w:tcPr>
            <w:tcW w:w="39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其他社会保障和就业支出</w:t>
            </w:r>
          </w:p>
        </w:tc>
        <w:tc>
          <w:tcPr>
            <w:tcW w:w="179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0.10</w:t>
            </w:r>
          </w:p>
        </w:tc>
        <w:tc>
          <w:tcPr>
            <w:tcW w:w="96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0.10</w:t>
            </w:r>
          </w:p>
        </w:tc>
        <w:tc>
          <w:tcPr>
            <w:tcW w:w="963"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68"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62"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63"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58"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403"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2089901</w:t>
            </w:r>
          </w:p>
        </w:tc>
        <w:tc>
          <w:tcPr>
            <w:tcW w:w="3910"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其他社会保障和就业支出</w:t>
            </w:r>
          </w:p>
        </w:tc>
        <w:tc>
          <w:tcPr>
            <w:tcW w:w="179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w:t>
            </w:r>
          </w:p>
        </w:tc>
        <w:tc>
          <w:tcPr>
            <w:tcW w:w="96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w:t>
            </w:r>
          </w:p>
        </w:tc>
        <w:tc>
          <w:tcPr>
            <w:tcW w:w="96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6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6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5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403"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w:t>
            </w:r>
          </w:p>
        </w:tc>
        <w:tc>
          <w:tcPr>
            <w:tcW w:w="39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卫生健康支出</w:t>
            </w:r>
          </w:p>
        </w:tc>
        <w:tc>
          <w:tcPr>
            <w:tcW w:w="179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5.46</w:t>
            </w:r>
          </w:p>
        </w:tc>
        <w:tc>
          <w:tcPr>
            <w:tcW w:w="96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5.46</w:t>
            </w:r>
          </w:p>
        </w:tc>
        <w:tc>
          <w:tcPr>
            <w:tcW w:w="963"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68"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62"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63"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58"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403"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21011</w:t>
            </w:r>
          </w:p>
        </w:tc>
        <w:tc>
          <w:tcPr>
            <w:tcW w:w="39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行政事业单位医疗</w:t>
            </w:r>
          </w:p>
        </w:tc>
        <w:tc>
          <w:tcPr>
            <w:tcW w:w="179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5.46</w:t>
            </w:r>
          </w:p>
        </w:tc>
        <w:tc>
          <w:tcPr>
            <w:tcW w:w="96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5.46</w:t>
            </w:r>
          </w:p>
        </w:tc>
        <w:tc>
          <w:tcPr>
            <w:tcW w:w="963"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68"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62"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63"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58"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403"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2101102</w:t>
            </w:r>
          </w:p>
        </w:tc>
        <w:tc>
          <w:tcPr>
            <w:tcW w:w="3910"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事业单位医疗</w:t>
            </w:r>
          </w:p>
        </w:tc>
        <w:tc>
          <w:tcPr>
            <w:tcW w:w="179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3.19</w:t>
            </w:r>
          </w:p>
        </w:tc>
        <w:tc>
          <w:tcPr>
            <w:tcW w:w="96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3.19</w:t>
            </w:r>
          </w:p>
        </w:tc>
        <w:tc>
          <w:tcPr>
            <w:tcW w:w="96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6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6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5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403"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2101103</w:t>
            </w:r>
          </w:p>
        </w:tc>
        <w:tc>
          <w:tcPr>
            <w:tcW w:w="3910"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w:t>
            </w:r>
          </w:p>
        </w:tc>
        <w:tc>
          <w:tcPr>
            <w:tcW w:w="179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2.27</w:t>
            </w:r>
          </w:p>
        </w:tc>
        <w:tc>
          <w:tcPr>
            <w:tcW w:w="96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2.27</w:t>
            </w:r>
          </w:p>
        </w:tc>
        <w:tc>
          <w:tcPr>
            <w:tcW w:w="96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6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6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5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403"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w:t>
            </w:r>
          </w:p>
        </w:tc>
        <w:tc>
          <w:tcPr>
            <w:tcW w:w="39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住房保障支出</w:t>
            </w:r>
          </w:p>
        </w:tc>
        <w:tc>
          <w:tcPr>
            <w:tcW w:w="179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5.87</w:t>
            </w:r>
          </w:p>
        </w:tc>
        <w:tc>
          <w:tcPr>
            <w:tcW w:w="96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5.87</w:t>
            </w:r>
          </w:p>
        </w:tc>
        <w:tc>
          <w:tcPr>
            <w:tcW w:w="963"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68"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62"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63"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58"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403"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22102</w:t>
            </w:r>
          </w:p>
        </w:tc>
        <w:tc>
          <w:tcPr>
            <w:tcW w:w="39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住房改革支出</w:t>
            </w:r>
          </w:p>
        </w:tc>
        <w:tc>
          <w:tcPr>
            <w:tcW w:w="179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5.87</w:t>
            </w:r>
          </w:p>
        </w:tc>
        <w:tc>
          <w:tcPr>
            <w:tcW w:w="96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5.87</w:t>
            </w:r>
          </w:p>
        </w:tc>
        <w:tc>
          <w:tcPr>
            <w:tcW w:w="963"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68"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62"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63"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58"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403"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w:t>
            </w:r>
          </w:p>
        </w:tc>
        <w:tc>
          <w:tcPr>
            <w:tcW w:w="3910"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179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5.87</w:t>
            </w:r>
          </w:p>
        </w:tc>
        <w:tc>
          <w:tcPr>
            <w:tcW w:w="96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5.87</w:t>
            </w:r>
          </w:p>
        </w:tc>
        <w:tc>
          <w:tcPr>
            <w:tcW w:w="96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6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6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5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3887" w:type="dxa"/>
            <w:gridSpan w:val="11"/>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注：本表反映部门本年度取得的各项收入情况。</w:t>
            </w:r>
          </w:p>
        </w:tc>
      </w:tr>
    </w:tbl>
    <w:p>
      <w:pPr>
        <w:rPr>
          <w:rFonts w:hint="default"/>
          <w:lang w:val="en-US" w:eastAsia="zh-CN"/>
        </w:rPr>
      </w:pPr>
    </w:p>
    <w:p>
      <w:pPr>
        <w:ind w:firstLine="3780" w:firstLineChars="1800"/>
        <w:rPr>
          <w:rFonts w:hint="default"/>
          <w:lang w:val="en-US" w:eastAsia="zh-CN"/>
        </w:rPr>
      </w:pPr>
    </w:p>
    <w:p>
      <w:pPr>
        <w:ind w:firstLine="3780" w:firstLineChars="1800"/>
        <w:jc w:val="left"/>
        <w:rPr>
          <w:rFonts w:hint="default"/>
          <w:lang w:val="en-US" w:eastAsia="zh-CN"/>
        </w:rPr>
      </w:pPr>
    </w:p>
    <w:p>
      <w:pPr>
        <w:ind w:firstLine="3780" w:firstLineChars="1800"/>
        <w:jc w:val="left"/>
        <w:rPr>
          <w:rFonts w:hint="default"/>
          <w:lang w:val="en-US" w:eastAsia="zh-CN"/>
        </w:rPr>
      </w:pPr>
    </w:p>
    <w:p>
      <w:pPr>
        <w:ind w:firstLine="3780" w:firstLineChars="1800"/>
        <w:jc w:val="left"/>
        <w:rPr>
          <w:rFonts w:hint="default"/>
          <w:lang w:val="en-US" w:eastAsia="zh-CN"/>
        </w:rPr>
      </w:pPr>
    </w:p>
    <w:p>
      <w:pPr>
        <w:ind w:firstLine="3780" w:firstLineChars="1800"/>
        <w:jc w:val="left"/>
        <w:rPr>
          <w:rFonts w:hint="default"/>
          <w:lang w:val="en-US" w:eastAsia="zh-CN"/>
        </w:rPr>
      </w:pPr>
    </w:p>
    <w:p>
      <w:pPr>
        <w:ind w:firstLine="3780" w:firstLineChars="1800"/>
        <w:jc w:val="left"/>
        <w:rPr>
          <w:rFonts w:hint="default"/>
          <w:lang w:val="en-US" w:eastAsia="zh-CN"/>
        </w:rPr>
      </w:pPr>
    </w:p>
    <w:p>
      <w:pPr>
        <w:ind w:firstLine="3780" w:firstLineChars="1800"/>
        <w:jc w:val="left"/>
        <w:rPr>
          <w:rFonts w:hint="default"/>
          <w:lang w:val="en-US" w:eastAsia="zh-CN"/>
        </w:rPr>
      </w:pPr>
    </w:p>
    <w:p>
      <w:pPr>
        <w:ind w:firstLine="3780" w:firstLineChars="1800"/>
        <w:jc w:val="left"/>
        <w:rPr>
          <w:rFonts w:hint="default"/>
          <w:lang w:val="en-US" w:eastAsia="zh-CN"/>
        </w:rPr>
      </w:pPr>
    </w:p>
    <w:p>
      <w:pPr>
        <w:ind w:firstLine="3780" w:firstLineChars="1800"/>
        <w:jc w:val="left"/>
        <w:rPr>
          <w:rFonts w:hint="default"/>
          <w:lang w:val="en-US" w:eastAsia="zh-CN"/>
        </w:rPr>
      </w:pPr>
    </w:p>
    <w:p>
      <w:pPr>
        <w:ind w:firstLine="3780" w:firstLineChars="1800"/>
        <w:jc w:val="left"/>
        <w:rPr>
          <w:rFonts w:hint="default"/>
          <w:lang w:val="en-US" w:eastAsia="zh-CN"/>
        </w:rPr>
      </w:pPr>
    </w:p>
    <w:p>
      <w:pPr>
        <w:ind w:firstLine="3780" w:firstLineChars="1800"/>
        <w:jc w:val="left"/>
        <w:rPr>
          <w:rFonts w:hint="default"/>
          <w:lang w:val="en-US" w:eastAsia="zh-CN"/>
        </w:rPr>
      </w:pPr>
    </w:p>
    <w:p>
      <w:pPr>
        <w:ind w:firstLine="3780" w:firstLineChars="1800"/>
        <w:jc w:val="left"/>
        <w:rPr>
          <w:rFonts w:hint="default"/>
          <w:lang w:val="en-US" w:eastAsia="zh-CN"/>
        </w:rPr>
      </w:pPr>
    </w:p>
    <w:p>
      <w:pPr>
        <w:ind w:firstLine="3780" w:firstLineChars="1800"/>
        <w:jc w:val="left"/>
        <w:rPr>
          <w:rFonts w:hint="default"/>
          <w:lang w:val="en-US" w:eastAsia="zh-CN"/>
        </w:rPr>
      </w:pPr>
    </w:p>
    <w:p>
      <w:pPr>
        <w:ind w:firstLine="3780" w:firstLineChars="1800"/>
        <w:jc w:val="left"/>
        <w:rPr>
          <w:rFonts w:hint="default"/>
          <w:lang w:val="en-US" w:eastAsia="zh-CN"/>
        </w:rPr>
      </w:pPr>
    </w:p>
    <w:p>
      <w:pPr>
        <w:ind w:firstLine="3780" w:firstLineChars="1800"/>
        <w:jc w:val="left"/>
        <w:rPr>
          <w:rFonts w:hint="default"/>
          <w:lang w:val="en-US" w:eastAsia="zh-CN"/>
        </w:rPr>
      </w:pPr>
    </w:p>
    <w:p>
      <w:pPr>
        <w:ind w:firstLine="3780" w:firstLineChars="1800"/>
        <w:jc w:val="left"/>
        <w:rPr>
          <w:rFonts w:hint="default"/>
          <w:lang w:val="en-US" w:eastAsia="zh-CN"/>
        </w:rPr>
      </w:pPr>
    </w:p>
    <w:p>
      <w:pPr>
        <w:jc w:val="left"/>
        <w:rPr>
          <w:rFonts w:hint="default"/>
          <w:lang w:val="en-US" w:eastAsia="zh-CN"/>
        </w:rPr>
      </w:pPr>
    </w:p>
    <w:tbl>
      <w:tblPr>
        <w:tblStyle w:val="5"/>
        <w:tblW w:w="13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15"/>
        <w:gridCol w:w="1035"/>
        <w:gridCol w:w="1035"/>
        <w:gridCol w:w="4200"/>
        <w:gridCol w:w="1926"/>
        <w:gridCol w:w="1042"/>
        <w:gridCol w:w="1034"/>
        <w:gridCol w:w="1034"/>
        <w:gridCol w:w="1034"/>
        <w:gridCol w:w="1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13890" w:type="dxa"/>
            <w:gridSpan w:val="10"/>
            <w:shd w:val="clear" w:color="auto" w:fill="FFFFFF"/>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515" w:type="dxa"/>
            <w:shd w:val="clear" w:color="auto" w:fill="FFFFFF"/>
            <w:vAlign w:val="center"/>
          </w:tcPr>
          <w:p>
            <w:pPr>
              <w:jc w:val="left"/>
              <w:rPr>
                <w:rFonts w:hint="eastAsia" w:ascii="宋体" w:hAnsi="宋体" w:eastAsia="宋体" w:cs="宋体"/>
                <w:i w:val="0"/>
                <w:color w:val="000000"/>
                <w:sz w:val="18"/>
                <w:szCs w:val="18"/>
                <w:u w:val="none"/>
              </w:rPr>
            </w:pPr>
          </w:p>
        </w:tc>
        <w:tc>
          <w:tcPr>
            <w:tcW w:w="1035" w:type="dxa"/>
            <w:shd w:val="clear" w:color="auto" w:fill="FFFFFF"/>
            <w:vAlign w:val="center"/>
          </w:tcPr>
          <w:p>
            <w:pPr>
              <w:jc w:val="left"/>
              <w:rPr>
                <w:rFonts w:hint="eastAsia" w:ascii="宋体" w:hAnsi="宋体" w:eastAsia="宋体" w:cs="宋体"/>
                <w:i w:val="0"/>
                <w:color w:val="000000"/>
                <w:sz w:val="18"/>
                <w:szCs w:val="18"/>
                <w:u w:val="none"/>
              </w:rPr>
            </w:pPr>
          </w:p>
        </w:tc>
        <w:tc>
          <w:tcPr>
            <w:tcW w:w="1035" w:type="dxa"/>
            <w:shd w:val="clear" w:color="auto" w:fill="FFFFFF"/>
            <w:vAlign w:val="center"/>
          </w:tcPr>
          <w:p>
            <w:pPr>
              <w:jc w:val="left"/>
              <w:rPr>
                <w:rFonts w:hint="eastAsia" w:ascii="宋体" w:hAnsi="宋体" w:eastAsia="宋体" w:cs="宋体"/>
                <w:i w:val="0"/>
                <w:color w:val="000000"/>
                <w:sz w:val="18"/>
                <w:szCs w:val="18"/>
                <w:u w:val="none"/>
              </w:rPr>
            </w:pPr>
          </w:p>
        </w:tc>
        <w:tc>
          <w:tcPr>
            <w:tcW w:w="4200" w:type="dxa"/>
            <w:shd w:val="clear" w:color="auto" w:fill="FFFFFF"/>
            <w:vAlign w:val="center"/>
          </w:tcPr>
          <w:p>
            <w:pPr>
              <w:jc w:val="left"/>
              <w:rPr>
                <w:rFonts w:hint="eastAsia" w:ascii="宋体" w:hAnsi="宋体" w:eastAsia="宋体" w:cs="宋体"/>
                <w:i w:val="0"/>
                <w:color w:val="000000"/>
                <w:sz w:val="18"/>
                <w:szCs w:val="18"/>
                <w:u w:val="none"/>
              </w:rPr>
            </w:pPr>
          </w:p>
        </w:tc>
        <w:tc>
          <w:tcPr>
            <w:tcW w:w="1926" w:type="dxa"/>
            <w:shd w:val="clear" w:color="auto" w:fill="FFFFFF"/>
            <w:vAlign w:val="center"/>
          </w:tcPr>
          <w:p>
            <w:pPr>
              <w:jc w:val="left"/>
              <w:rPr>
                <w:rFonts w:hint="eastAsia" w:ascii="宋体" w:hAnsi="宋体" w:eastAsia="宋体" w:cs="宋体"/>
                <w:i w:val="0"/>
                <w:color w:val="000000"/>
                <w:sz w:val="18"/>
                <w:szCs w:val="18"/>
                <w:u w:val="none"/>
              </w:rPr>
            </w:pPr>
          </w:p>
        </w:tc>
        <w:tc>
          <w:tcPr>
            <w:tcW w:w="1042" w:type="dxa"/>
            <w:shd w:val="clear" w:color="auto" w:fill="FFFFFF"/>
            <w:vAlign w:val="center"/>
          </w:tcPr>
          <w:p>
            <w:pPr>
              <w:jc w:val="left"/>
              <w:rPr>
                <w:rFonts w:hint="eastAsia" w:ascii="宋体" w:hAnsi="宋体" w:eastAsia="宋体" w:cs="宋体"/>
                <w:i w:val="0"/>
                <w:color w:val="000000"/>
                <w:sz w:val="18"/>
                <w:szCs w:val="18"/>
                <w:u w:val="none"/>
              </w:rPr>
            </w:pPr>
          </w:p>
        </w:tc>
        <w:tc>
          <w:tcPr>
            <w:tcW w:w="1034" w:type="dxa"/>
            <w:shd w:val="clear" w:color="auto" w:fill="FFFFFF"/>
            <w:vAlign w:val="center"/>
          </w:tcPr>
          <w:p>
            <w:pPr>
              <w:jc w:val="left"/>
              <w:rPr>
                <w:rFonts w:hint="eastAsia" w:ascii="宋体" w:hAnsi="宋体" w:eastAsia="宋体" w:cs="宋体"/>
                <w:i w:val="0"/>
                <w:color w:val="000000"/>
                <w:sz w:val="18"/>
                <w:szCs w:val="18"/>
                <w:u w:val="none"/>
              </w:rPr>
            </w:pPr>
          </w:p>
        </w:tc>
        <w:tc>
          <w:tcPr>
            <w:tcW w:w="1034" w:type="dxa"/>
            <w:shd w:val="clear" w:color="auto" w:fill="FFFFFF"/>
            <w:vAlign w:val="center"/>
          </w:tcPr>
          <w:p>
            <w:pPr>
              <w:jc w:val="left"/>
              <w:rPr>
                <w:rFonts w:hint="eastAsia" w:ascii="宋体" w:hAnsi="宋体" w:eastAsia="宋体" w:cs="宋体"/>
                <w:i w:val="0"/>
                <w:color w:val="000000"/>
                <w:sz w:val="18"/>
                <w:szCs w:val="18"/>
                <w:u w:val="none"/>
              </w:rPr>
            </w:pPr>
          </w:p>
        </w:tc>
        <w:tc>
          <w:tcPr>
            <w:tcW w:w="1034" w:type="dxa"/>
            <w:shd w:val="clear" w:color="auto" w:fill="FFFFFF"/>
            <w:vAlign w:val="center"/>
          </w:tcPr>
          <w:p>
            <w:pPr>
              <w:jc w:val="left"/>
              <w:rPr>
                <w:rFonts w:hint="eastAsia" w:ascii="宋体" w:hAnsi="宋体" w:eastAsia="宋体" w:cs="宋体"/>
                <w:i w:val="0"/>
                <w:color w:val="000000"/>
                <w:sz w:val="18"/>
                <w:szCs w:val="18"/>
                <w:u w:val="none"/>
              </w:rPr>
            </w:pPr>
          </w:p>
        </w:tc>
        <w:tc>
          <w:tcPr>
            <w:tcW w:w="1035"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585" w:type="dxa"/>
            <w:gridSpan w:val="3"/>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部门：甘肃省人民代表大会常务委员会人民之声报社</w:t>
            </w:r>
          </w:p>
        </w:tc>
        <w:tc>
          <w:tcPr>
            <w:tcW w:w="4200"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926" w:type="dxa"/>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2020年度</w:t>
            </w:r>
          </w:p>
        </w:tc>
        <w:tc>
          <w:tcPr>
            <w:tcW w:w="1042"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034"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034"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034"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035" w:type="dxa"/>
            <w:tcBorders>
              <w:bottom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785"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926"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1042"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034"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1034"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上缴上级支出</w:t>
            </w:r>
          </w:p>
        </w:tc>
        <w:tc>
          <w:tcPr>
            <w:tcW w:w="1034"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经营支出</w:t>
            </w:r>
          </w:p>
        </w:tc>
        <w:tc>
          <w:tcPr>
            <w:tcW w:w="1035"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585" w:type="dxa"/>
            <w:gridSpan w:val="3"/>
            <w:vMerge w:val="restart"/>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4200"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926"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42"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34"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34"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34"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3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585" w:type="dxa"/>
            <w:gridSpan w:val="3"/>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4200"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926"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42"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34"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34"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34"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3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585" w:type="dxa"/>
            <w:gridSpan w:val="3"/>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4200"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926"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42"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34"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34"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34"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3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6785"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92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4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3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3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3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6785"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92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230.93</w:t>
            </w:r>
          </w:p>
        </w:tc>
        <w:tc>
          <w:tcPr>
            <w:tcW w:w="104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230.93</w:t>
            </w:r>
          </w:p>
        </w:tc>
        <w:tc>
          <w:tcPr>
            <w:tcW w:w="103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03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03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03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585"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207</w:t>
            </w:r>
          </w:p>
        </w:tc>
        <w:tc>
          <w:tcPr>
            <w:tcW w:w="420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文化旅游体育与传媒支出</w:t>
            </w:r>
          </w:p>
        </w:tc>
        <w:tc>
          <w:tcPr>
            <w:tcW w:w="1926"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207.40</w:t>
            </w:r>
          </w:p>
        </w:tc>
        <w:tc>
          <w:tcPr>
            <w:tcW w:w="104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207.40</w:t>
            </w:r>
          </w:p>
        </w:tc>
        <w:tc>
          <w:tcPr>
            <w:tcW w:w="103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3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3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35"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585"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20706</w:t>
            </w:r>
          </w:p>
        </w:tc>
        <w:tc>
          <w:tcPr>
            <w:tcW w:w="420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新闻出版电影</w:t>
            </w:r>
          </w:p>
        </w:tc>
        <w:tc>
          <w:tcPr>
            <w:tcW w:w="1926"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207.40</w:t>
            </w:r>
          </w:p>
        </w:tc>
        <w:tc>
          <w:tcPr>
            <w:tcW w:w="104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207.40</w:t>
            </w:r>
          </w:p>
        </w:tc>
        <w:tc>
          <w:tcPr>
            <w:tcW w:w="103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3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3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35"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585"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2070605</w:t>
            </w:r>
          </w:p>
        </w:tc>
        <w:tc>
          <w:tcPr>
            <w:tcW w:w="4200"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出版发行</w:t>
            </w:r>
          </w:p>
        </w:tc>
        <w:tc>
          <w:tcPr>
            <w:tcW w:w="192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207.40</w:t>
            </w:r>
          </w:p>
        </w:tc>
        <w:tc>
          <w:tcPr>
            <w:tcW w:w="104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207.40</w:t>
            </w:r>
          </w:p>
        </w:tc>
        <w:tc>
          <w:tcPr>
            <w:tcW w:w="103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3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3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3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585"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w:t>
            </w:r>
          </w:p>
        </w:tc>
        <w:tc>
          <w:tcPr>
            <w:tcW w:w="420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社会保障和就业支出</w:t>
            </w:r>
          </w:p>
        </w:tc>
        <w:tc>
          <w:tcPr>
            <w:tcW w:w="1926"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12.20</w:t>
            </w:r>
          </w:p>
        </w:tc>
        <w:tc>
          <w:tcPr>
            <w:tcW w:w="104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12.20</w:t>
            </w:r>
          </w:p>
        </w:tc>
        <w:tc>
          <w:tcPr>
            <w:tcW w:w="103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3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3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35"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585"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20805</w:t>
            </w:r>
          </w:p>
        </w:tc>
        <w:tc>
          <w:tcPr>
            <w:tcW w:w="420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行政事业单位养老支出</w:t>
            </w:r>
          </w:p>
        </w:tc>
        <w:tc>
          <w:tcPr>
            <w:tcW w:w="1926"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12.10</w:t>
            </w:r>
          </w:p>
        </w:tc>
        <w:tc>
          <w:tcPr>
            <w:tcW w:w="104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12.10</w:t>
            </w:r>
          </w:p>
        </w:tc>
        <w:tc>
          <w:tcPr>
            <w:tcW w:w="103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3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3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35"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585"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2080505</w:t>
            </w:r>
          </w:p>
        </w:tc>
        <w:tc>
          <w:tcPr>
            <w:tcW w:w="4200"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192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8.07</w:t>
            </w:r>
          </w:p>
        </w:tc>
        <w:tc>
          <w:tcPr>
            <w:tcW w:w="104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8.07</w:t>
            </w:r>
          </w:p>
        </w:tc>
        <w:tc>
          <w:tcPr>
            <w:tcW w:w="103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3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3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3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585"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2080506</w:t>
            </w:r>
          </w:p>
        </w:tc>
        <w:tc>
          <w:tcPr>
            <w:tcW w:w="4200"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机关事业单位职业年金缴费支出</w:t>
            </w:r>
          </w:p>
        </w:tc>
        <w:tc>
          <w:tcPr>
            <w:tcW w:w="192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w:t>
            </w:r>
          </w:p>
        </w:tc>
        <w:tc>
          <w:tcPr>
            <w:tcW w:w="104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w:t>
            </w:r>
          </w:p>
        </w:tc>
        <w:tc>
          <w:tcPr>
            <w:tcW w:w="103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3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3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3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585"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20899</w:t>
            </w:r>
          </w:p>
        </w:tc>
        <w:tc>
          <w:tcPr>
            <w:tcW w:w="420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其他社会保障和就业支出</w:t>
            </w:r>
          </w:p>
        </w:tc>
        <w:tc>
          <w:tcPr>
            <w:tcW w:w="1926"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0.10</w:t>
            </w:r>
          </w:p>
        </w:tc>
        <w:tc>
          <w:tcPr>
            <w:tcW w:w="104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0.10</w:t>
            </w:r>
          </w:p>
        </w:tc>
        <w:tc>
          <w:tcPr>
            <w:tcW w:w="103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3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3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35"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585"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2089901</w:t>
            </w:r>
          </w:p>
        </w:tc>
        <w:tc>
          <w:tcPr>
            <w:tcW w:w="4200"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其他社会保障和就业支出</w:t>
            </w:r>
          </w:p>
        </w:tc>
        <w:tc>
          <w:tcPr>
            <w:tcW w:w="192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w:t>
            </w:r>
          </w:p>
        </w:tc>
        <w:tc>
          <w:tcPr>
            <w:tcW w:w="104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w:t>
            </w:r>
          </w:p>
        </w:tc>
        <w:tc>
          <w:tcPr>
            <w:tcW w:w="103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3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3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3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585"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w:t>
            </w:r>
          </w:p>
        </w:tc>
        <w:tc>
          <w:tcPr>
            <w:tcW w:w="420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卫生健康支出</w:t>
            </w:r>
          </w:p>
        </w:tc>
        <w:tc>
          <w:tcPr>
            <w:tcW w:w="1926"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5.46</w:t>
            </w:r>
          </w:p>
        </w:tc>
        <w:tc>
          <w:tcPr>
            <w:tcW w:w="104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5.46</w:t>
            </w:r>
          </w:p>
        </w:tc>
        <w:tc>
          <w:tcPr>
            <w:tcW w:w="103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3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3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35"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585"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21011</w:t>
            </w:r>
          </w:p>
        </w:tc>
        <w:tc>
          <w:tcPr>
            <w:tcW w:w="420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行政事业单位医疗</w:t>
            </w:r>
          </w:p>
        </w:tc>
        <w:tc>
          <w:tcPr>
            <w:tcW w:w="1926"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5.46</w:t>
            </w:r>
          </w:p>
        </w:tc>
        <w:tc>
          <w:tcPr>
            <w:tcW w:w="104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5.46</w:t>
            </w:r>
          </w:p>
        </w:tc>
        <w:tc>
          <w:tcPr>
            <w:tcW w:w="103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3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3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35"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585"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2101102</w:t>
            </w:r>
          </w:p>
        </w:tc>
        <w:tc>
          <w:tcPr>
            <w:tcW w:w="4200"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事业单位医疗</w:t>
            </w:r>
          </w:p>
        </w:tc>
        <w:tc>
          <w:tcPr>
            <w:tcW w:w="192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3.19</w:t>
            </w:r>
          </w:p>
        </w:tc>
        <w:tc>
          <w:tcPr>
            <w:tcW w:w="104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3.19</w:t>
            </w:r>
          </w:p>
        </w:tc>
        <w:tc>
          <w:tcPr>
            <w:tcW w:w="103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3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3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3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585"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2101103</w:t>
            </w:r>
          </w:p>
        </w:tc>
        <w:tc>
          <w:tcPr>
            <w:tcW w:w="4200"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w:t>
            </w:r>
          </w:p>
        </w:tc>
        <w:tc>
          <w:tcPr>
            <w:tcW w:w="192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2.27</w:t>
            </w:r>
          </w:p>
        </w:tc>
        <w:tc>
          <w:tcPr>
            <w:tcW w:w="104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2.27</w:t>
            </w:r>
          </w:p>
        </w:tc>
        <w:tc>
          <w:tcPr>
            <w:tcW w:w="103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3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3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3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585"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w:t>
            </w:r>
          </w:p>
        </w:tc>
        <w:tc>
          <w:tcPr>
            <w:tcW w:w="420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住房保障支出</w:t>
            </w:r>
          </w:p>
        </w:tc>
        <w:tc>
          <w:tcPr>
            <w:tcW w:w="1926"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5.87</w:t>
            </w:r>
          </w:p>
        </w:tc>
        <w:tc>
          <w:tcPr>
            <w:tcW w:w="104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5.87</w:t>
            </w:r>
          </w:p>
        </w:tc>
        <w:tc>
          <w:tcPr>
            <w:tcW w:w="103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3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3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35"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585"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22102</w:t>
            </w:r>
          </w:p>
        </w:tc>
        <w:tc>
          <w:tcPr>
            <w:tcW w:w="420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住房改革支出</w:t>
            </w:r>
          </w:p>
        </w:tc>
        <w:tc>
          <w:tcPr>
            <w:tcW w:w="1926"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5.87</w:t>
            </w:r>
          </w:p>
        </w:tc>
        <w:tc>
          <w:tcPr>
            <w:tcW w:w="104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5.87</w:t>
            </w:r>
          </w:p>
        </w:tc>
        <w:tc>
          <w:tcPr>
            <w:tcW w:w="103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3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3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35"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585"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w:t>
            </w:r>
          </w:p>
        </w:tc>
        <w:tc>
          <w:tcPr>
            <w:tcW w:w="4200"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192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5.87</w:t>
            </w:r>
          </w:p>
        </w:tc>
        <w:tc>
          <w:tcPr>
            <w:tcW w:w="104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5.87</w:t>
            </w:r>
          </w:p>
        </w:tc>
        <w:tc>
          <w:tcPr>
            <w:tcW w:w="103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3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3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3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3890" w:type="dxa"/>
            <w:gridSpan w:val="10"/>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注：本表反映部门本年度各项支出情况。</w:t>
            </w:r>
          </w:p>
        </w:tc>
      </w:tr>
    </w:tbl>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tbl>
      <w:tblPr>
        <w:tblStyle w:val="5"/>
        <w:tblW w:w="138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319"/>
        <w:gridCol w:w="432"/>
        <w:gridCol w:w="2367"/>
        <w:gridCol w:w="2584"/>
        <w:gridCol w:w="491"/>
        <w:gridCol w:w="1285"/>
        <w:gridCol w:w="805"/>
        <w:gridCol w:w="2270"/>
        <w:gridCol w:w="13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13881" w:type="dxa"/>
            <w:gridSpan w:val="9"/>
            <w:shd w:val="clear" w:color="auto" w:fill="FFFFFF"/>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319" w:type="dxa"/>
            <w:shd w:val="clear" w:color="auto" w:fill="FFFFFF"/>
            <w:vAlign w:val="center"/>
          </w:tcPr>
          <w:p>
            <w:pPr>
              <w:jc w:val="left"/>
              <w:rPr>
                <w:rFonts w:hint="eastAsia" w:ascii="宋体" w:hAnsi="宋体" w:eastAsia="宋体" w:cs="宋体"/>
                <w:i w:val="0"/>
                <w:color w:val="000000"/>
                <w:sz w:val="18"/>
                <w:szCs w:val="18"/>
                <w:u w:val="none"/>
              </w:rPr>
            </w:pPr>
          </w:p>
        </w:tc>
        <w:tc>
          <w:tcPr>
            <w:tcW w:w="432" w:type="dxa"/>
            <w:shd w:val="clear" w:color="auto" w:fill="FFFFFF"/>
            <w:vAlign w:val="center"/>
          </w:tcPr>
          <w:p>
            <w:pPr>
              <w:jc w:val="left"/>
              <w:rPr>
                <w:rFonts w:hint="eastAsia" w:ascii="宋体" w:hAnsi="宋体" w:eastAsia="宋体" w:cs="宋体"/>
                <w:i w:val="0"/>
                <w:color w:val="000000"/>
                <w:sz w:val="18"/>
                <w:szCs w:val="18"/>
                <w:u w:val="none"/>
              </w:rPr>
            </w:pPr>
          </w:p>
        </w:tc>
        <w:tc>
          <w:tcPr>
            <w:tcW w:w="2367" w:type="dxa"/>
            <w:shd w:val="clear" w:color="auto" w:fill="FFFFFF"/>
            <w:vAlign w:val="center"/>
          </w:tcPr>
          <w:p>
            <w:pPr>
              <w:jc w:val="left"/>
              <w:rPr>
                <w:rFonts w:hint="eastAsia" w:ascii="宋体" w:hAnsi="宋体" w:eastAsia="宋体" w:cs="宋体"/>
                <w:i w:val="0"/>
                <w:color w:val="000000"/>
                <w:sz w:val="18"/>
                <w:szCs w:val="18"/>
                <w:u w:val="none"/>
              </w:rPr>
            </w:pPr>
          </w:p>
        </w:tc>
        <w:tc>
          <w:tcPr>
            <w:tcW w:w="2584" w:type="dxa"/>
            <w:shd w:val="clear" w:color="auto" w:fill="FFFFFF"/>
            <w:vAlign w:val="center"/>
          </w:tcPr>
          <w:p>
            <w:pPr>
              <w:jc w:val="left"/>
              <w:rPr>
                <w:rFonts w:hint="eastAsia" w:ascii="宋体" w:hAnsi="宋体" w:eastAsia="宋体" w:cs="宋体"/>
                <w:i w:val="0"/>
                <w:color w:val="000000"/>
                <w:sz w:val="18"/>
                <w:szCs w:val="18"/>
                <w:u w:val="none"/>
              </w:rPr>
            </w:pPr>
          </w:p>
        </w:tc>
        <w:tc>
          <w:tcPr>
            <w:tcW w:w="491" w:type="dxa"/>
            <w:shd w:val="clear" w:color="auto" w:fill="FFFFFF"/>
            <w:vAlign w:val="center"/>
          </w:tcPr>
          <w:p>
            <w:pPr>
              <w:jc w:val="left"/>
              <w:rPr>
                <w:rFonts w:hint="eastAsia" w:ascii="宋体" w:hAnsi="宋体" w:eastAsia="宋体" w:cs="宋体"/>
                <w:i w:val="0"/>
                <w:color w:val="000000"/>
                <w:sz w:val="18"/>
                <w:szCs w:val="18"/>
                <w:u w:val="none"/>
              </w:rPr>
            </w:pPr>
          </w:p>
        </w:tc>
        <w:tc>
          <w:tcPr>
            <w:tcW w:w="1285" w:type="dxa"/>
            <w:shd w:val="clear" w:color="auto" w:fill="FFFFFF"/>
            <w:vAlign w:val="center"/>
          </w:tcPr>
          <w:p>
            <w:pPr>
              <w:jc w:val="left"/>
              <w:rPr>
                <w:rFonts w:hint="eastAsia" w:ascii="宋体" w:hAnsi="宋体" w:eastAsia="宋体" w:cs="宋体"/>
                <w:i w:val="0"/>
                <w:color w:val="000000"/>
                <w:sz w:val="18"/>
                <w:szCs w:val="18"/>
                <w:u w:val="none"/>
              </w:rPr>
            </w:pPr>
          </w:p>
        </w:tc>
        <w:tc>
          <w:tcPr>
            <w:tcW w:w="805" w:type="dxa"/>
            <w:shd w:val="clear" w:color="auto" w:fill="FFFFFF"/>
            <w:vAlign w:val="center"/>
          </w:tcPr>
          <w:p>
            <w:pPr>
              <w:jc w:val="left"/>
              <w:rPr>
                <w:rFonts w:hint="eastAsia" w:ascii="宋体" w:hAnsi="宋体" w:eastAsia="宋体" w:cs="宋体"/>
                <w:i w:val="0"/>
                <w:color w:val="000000"/>
                <w:sz w:val="18"/>
                <w:szCs w:val="18"/>
                <w:u w:val="none"/>
              </w:rPr>
            </w:pPr>
          </w:p>
        </w:tc>
        <w:tc>
          <w:tcPr>
            <w:tcW w:w="2270" w:type="dxa"/>
            <w:shd w:val="clear" w:color="auto" w:fill="FFFFFF"/>
            <w:vAlign w:val="center"/>
          </w:tcPr>
          <w:p>
            <w:pPr>
              <w:jc w:val="left"/>
              <w:rPr>
                <w:rFonts w:hint="eastAsia" w:ascii="宋体" w:hAnsi="宋体" w:eastAsia="宋体" w:cs="宋体"/>
                <w:i w:val="0"/>
                <w:color w:val="000000"/>
                <w:sz w:val="18"/>
                <w:szCs w:val="18"/>
                <w:u w:val="none"/>
              </w:rPr>
            </w:pPr>
          </w:p>
        </w:tc>
        <w:tc>
          <w:tcPr>
            <w:tcW w:w="1328"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118" w:type="dxa"/>
            <w:gridSpan w:val="3"/>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部门：甘肃省人民代表大会常务委员会人民之声报社</w:t>
            </w:r>
          </w:p>
        </w:tc>
        <w:tc>
          <w:tcPr>
            <w:tcW w:w="2584"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491" w:type="dxa"/>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2020年度</w:t>
            </w:r>
          </w:p>
        </w:tc>
        <w:tc>
          <w:tcPr>
            <w:tcW w:w="1285"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805"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2270"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328" w:type="dxa"/>
            <w:tcBorders>
              <w:bottom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118"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     入</w:t>
            </w:r>
          </w:p>
        </w:tc>
        <w:tc>
          <w:tcPr>
            <w:tcW w:w="8763" w:type="dxa"/>
            <w:gridSpan w:val="6"/>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319" w:type="dxa"/>
            <w:vMerge w:val="restart"/>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432"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2367"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2584" w:type="dxa"/>
            <w:vMerge w:val="restart"/>
            <w:tcBorders>
              <w:bottom w:val="single" w:color="000000" w:sz="4" w:space="0"/>
              <w:right w:val="single" w:color="000000" w:sz="4" w:space="0"/>
            </w:tcBorders>
            <w:shd w:val="clear" w:color="auto" w:fill="C0C0C0"/>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491"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285"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805"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w:t>
            </w:r>
          </w:p>
        </w:tc>
        <w:tc>
          <w:tcPr>
            <w:tcW w:w="2270"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w:t>
            </w:r>
          </w:p>
        </w:tc>
        <w:tc>
          <w:tcPr>
            <w:tcW w:w="1328"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2319" w:type="dxa"/>
            <w:vMerge w:val="continue"/>
            <w:tcBorders>
              <w:left w:val="single" w:color="000000" w:sz="4" w:space="0"/>
              <w:bottom w:val="single" w:color="000000" w:sz="4" w:space="0"/>
              <w:right w:val="single" w:color="000000" w:sz="4" w:space="0"/>
            </w:tcBorders>
            <w:shd w:val="clear" w:color="auto" w:fill="C0C0C0"/>
            <w:vAlign w:val="center"/>
          </w:tcPr>
          <w:p>
            <w:pPr>
              <w:jc w:val="both"/>
              <w:rPr>
                <w:rFonts w:hint="eastAsia" w:ascii="宋体" w:hAnsi="宋体" w:eastAsia="宋体" w:cs="宋体"/>
                <w:i w:val="0"/>
                <w:color w:val="000000"/>
                <w:sz w:val="20"/>
                <w:szCs w:val="20"/>
                <w:u w:val="none"/>
              </w:rPr>
            </w:pPr>
          </w:p>
        </w:tc>
        <w:tc>
          <w:tcPr>
            <w:tcW w:w="432"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367"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584" w:type="dxa"/>
            <w:vMerge w:val="continue"/>
            <w:tcBorders>
              <w:bottom w:val="single" w:color="000000" w:sz="4" w:space="0"/>
              <w:right w:val="single" w:color="000000" w:sz="4" w:space="0"/>
            </w:tcBorders>
            <w:shd w:val="clear" w:color="auto" w:fill="C0C0C0"/>
            <w:vAlign w:val="bottom"/>
          </w:tcPr>
          <w:p>
            <w:pPr>
              <w:jc w:val="both"/>
              <w:rPr>
                <w:rFonts w:hint="eastAsia" w:ascii="宋体" w:hAnsi="宋体" w:eastAsia="宋体" w:cs="宋体"/>
                <w:i w:val="0"/>
                <w:color w:val="000000"/>
                <w:sz w:val="20"/>
                <w:szCs w:val="20"/>
                <w:u w:val="none"/>
              </w:rPr>
            </w:pPr>
          </w:p>
        </w:tc>
        <w:tc>
          <w:tcPr>
            <w:tcW w:w="491"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28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80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270"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328"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319"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432" w:type="dxa"/>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3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584" w:type="dxa"/>
            <w:tcBorders>
              <w:bottom w:val="single" w:color="000000" w:sz="4" w:space="0"/>
              <w:right w:val="single" w:color="000000" w:sz="4" w:space="0"/>
            </w:tcBorders>
            <w:shd w:val="clear" w:color="auto" w:fill="C0C0C0"/>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491" w:type="dxa"/>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28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0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270"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32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19"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43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6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158.83</w:t>
            </w:r>
          </w:p>
        </w:tc>
        <w:tc>
          <w:tcPr>
            <w:tcW w:w="2584"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49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28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319"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43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3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84"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49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28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319"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三、国有资本经营财政拨款</w:t>
            </w:r>
          </w:p>
        </w:tc>
        <w:tc>
          <w:tcPr>
            <w:tcW w:w="43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3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84"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49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28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319"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3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3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84"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49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28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319"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3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3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84"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49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28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319"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3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23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84"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49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28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19"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3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23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84"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49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28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135.30</w:t>
            </w:r>
          </w:p>
        </w:tc>
        <w:tc>
          <w:tcPr>
            <w:tcW w:w="80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135.30</w:t>
            </w:r>
          </w:p>
        </w:tc>
        <w:tc>
          <w:tcPr>
            <w:tcW w:w="22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319"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3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23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84"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49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28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12.20</w:t>
            </w:r>
          </w:p>
        </w:tc>
        <w:tc>
          <w:tcPr>
            <w:tcW w:w="80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12.20</w:t>
            </w:r>
          </w:p>
        </w:tc>
        <w:tc>
          <w:tcPr>
            <w:tcW w:w="22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19"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3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23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84"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49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28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5.46</w:t>
            </w:r>
          </w:p>
        </w:tc>
        <w:tc>
          <w:tcPr>
            <w:tcW w:w="80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5.46</w:t>
            </w:r>
          </w:p>
        </w:tc>
        <w:tc>
          <w:tcPr>
            <w:tcW w:w="22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319"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3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3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84"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49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28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319"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3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23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84"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49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28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19"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3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23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84"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49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28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319"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3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23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84"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49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28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319"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3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23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84"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十四、资源勘探工业信息等支出</w:t>
            </w:r>
          </w:p>
        </w:tc>
        <w:tc>
          <w:tcPr>
            <w:tcW w:w="49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28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19"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3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23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84"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49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28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319"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3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23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84"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49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28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19"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3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23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84"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49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28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19"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3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23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84"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49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28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319"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3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23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84"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49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28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5.87</w:t>
            </w:r>
          </w:p>
        </w:tc>
        <w:tc>
          <w:tcPr>
            <w:tcW w:w="80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5.87</w:t>
            </w:r>
          </w:p>
        </w:tc>
        <w:tc>
          <w:tcPr>
            <w:tcW w:w="22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319"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3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23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84"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49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28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319"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3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23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84"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二十一、国有资本经营预算支出</w:t>
            </w:r>
          </w:p>
        </w:tc>
        <w:tc>
          <w:tcPr>
            <w:tcW w:w="49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28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319"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3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23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84"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二十二、灾害防治及应急管理支出</w:t>
            </w:r>
          </w:p>
        </w:tc>
        <w:tc>
          <w:tcPr>
            <w:tcW w:w="49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28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300" w:hRule="atLeast"/>
        </w:trPr>
        <w:tc>
          <w:tcPr>
            <w:tcW w:w="2319"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3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23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84"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二十三、其他支出</w:t>
            </w:r>
          </w:p>
        </w:tc>
        <w:tc>
          <w:tcPr>
            <w:tcW w:w="49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28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319" w:type="dxa"/>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i w:val="0"/>
                <w:color w:val="000000"/>
                <w:sz w:val="20"/>
                <w:szCs w:val="20"/>
                <w:u w:val="none"/>
              </w:rPr>
            </w:pPr>
          </w:p>
        </w:tc>
        <w:tc>
          <w:tcPr>
            <w:tcW w:w="43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23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84"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二十四、债务还本支出</w:t>
            </w:r>
          </w:p>
        </w:tc>
        <w:tc>
          <w:tcPr>
            <w:tcW w:w="49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28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19"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3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23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84"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二十五、债务付息支出</w:t>
            </w:r>
          </w:p>
        </w:tc>
        <w:tc>
          <w:tcPr>
            <w:tcW w:w="49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128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319"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3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23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84"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二十六、抗疫特别国债安排的支出</w:t>
            </w:r>
          </w:p>
        </w:tc>
        <w:tc>
          <w:tcPr>
            <w:tcW w:w="49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128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319"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43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236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158.83</w:t>
            </w:r>
          </w:p>
        </w:tc>
        <w:tc>
          <w:tcPr>
            <w:tcW w:w="258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49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128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158.83</w:t>
            </w:r>
          </w:p>
        </w:tc>
        <w:tc>
          <w:tcPr>
            <w:tcW w:w="80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158.83</w:t>
            </w:r>
          </w:p>
        </w:tc>
        <w:tc>
          <w:tcPr>
            <w:tcW w:w="22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319"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年初财政拨款结转和结余</w:t>
            </w:r>
          </w:p>
        </w:tc>
        <w:tc>
          <w:tcPr>
            <w:tcW w:w="43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23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84"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年末财政拨款结转和结余</w:t>
            </w:r>
          </w:p>
        </w:tc>
        <w:tc>
          <w:tcPr>
            <w:tcW w:w="49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128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319"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一般公共预算财政拨款</w:t>
            </w:r>
          </w:p>
        </w:tc>
        <w:tc>
          <w:tcPr>
            <w:tcW w:w="43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23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84" w:type="dxa"/>
            <w:tcBorders>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9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128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19"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政府性基金预算财政拨款</w:t>
            </w:r>
          </w:p>
        </w:tc>
        <w:tc>
          <w:tcPr>
            <w:tcW w:w="43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23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84" w:type="dxa"/>
            <w:tcBorders>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9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128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trPr>
        <w:tc>
          <w:tcPr>
            <w:tcW w:w="2319"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国有资本经营预算财政拨款</w:t>
            </w:r>
          </w:p>
        </w:tc>
        <w:tc>
          <w:tcPr>
            <w:tcW w:w="43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23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84" w:type="dxa"/>
            <w:tcBorders>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9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w:t>
            </w:r>
          </w:p>
        </w:tc>
        <w:tc>
          <w:tcPr>
            <w:tcW w:w="128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19"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432" w:type="dxa"/>
            <w:tcBorders>
              <w:bottom w:val="single" w:color="000000" w:sz="18"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236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158.83</w:t>
            </w:r>
          </w:p>
        </w:tc>
        <w:tc>
          <w:tcPr>
            <w:tcW w:w="2584" w:type="dxa"/>
            <w:tcBorders>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49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128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158.83</w:t>
            </w:r>
          </w:p>
        </w:tc>
        <w:tc>
          <w:tcPr>
            <w:tcW w:w="80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158.83</w:t>
            </w:r>
          </w:p>
        </w:tc>
        <w:tc>
          <w:tcPr>
            <w:tcW w:w="22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553" w:type="dxa"/>
            <w:gridSpan w:val="8"/>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注：本表反映部门本年度一般公共预算财政拨款、政府性基金预算财政拨款和国有资本经营预算财政拨款的总收支和年末结转结余情况。</w:t>
            </w:r>
          </w:p>
        </w:tc>
        <w:tc>
          <w:tcPr>
            <w:tcW w:w="1328" w:type="dxa"/>
            <w:shd w:val="clear" w:color="auto" w:fill="FFFFFF"/>
            <w:vAlign w:val="center"/>
          </w:tcPr>
          <w:p>
            <w:pPr>
              <w:jc w:val="left"/>
              <w:rPr>
                <w:rFonts w:hint="eastAsia" w:ascii="宋体" w:hAnsi="宋体" w:eastAsia="宋体" w:cs="宋体"/>
                <w:i w:val="0"/>
                <w:color w:val="000000"/>
                <w:sz w:val="20"/>
                <w:szCs w:val="20"/>
                <w:u w:val="none"/>
              </w:rPr>
            </w:pPr>
          </w:p>
        </w:tc>
      </w:tr>
    </w:tbl>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tbl>
      <w:tblPr>
        <w:tblStyle w:val="5"/>
        <w:tblW w:w="13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82"/>
        <w:gridCol w:w="1165"/>
        <w:gridCol w:w="1165"/>
        <w:gridCol w:w="4592"/>
        <w:gridCol w:w="2694"/>
        <w:gridCol w:w="1230"/>
        <w:gridCol w:w="26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13890" w:type="dxa"/>
            <w:gridSpan w:val="7"/>
            <w:shd w:val="clear" w:color="auto" w:fill="FFFFFF"/>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382" w:type="dxa"/>
            <w:shd w:val="clear" w:color="auto" w:fill="FFFFFF"/>
            <w:vAlign w:val="center"/>
          </w:tcPr>
          <w:p>
            <w:pPr>
              <w:jc w:val="left"/>
              <w:rPr>
                <w:rFonts w:hint="eastAsia" w:ascii="宋体" w:hAnsi="宋体" w:eastAsia="宋体" w:cs="宋体"/>
                <w:i w:val="0"/>
                <w:color w:val="000000"/>
                <w:sz w:val="18"/>
                <w:szCs w:val="18"/>
                <w:u w:val="none"/>
              </w:rPr>
            </w:pPr>
          </w:p>
        </w:tc>
        <w:tc>
          <w:tcPr>
            <w:tcW w:w="1165" w:type="dxa"/>
            <w:shd w:val="clear" w:color="auto" w:fill="FFFFFF"/>
            <w:vAlign w:val="center"/>
          </w:tcPr>
          <w:p>
            <w:pPr>
              <w:jc w:val="left"/>
              <w:rPr>
                <w:rFonts w:hint="eastAsia" w:ascii="宋体" w:hAnsi="宋体" w:eastAsia="宋体" w:cs="宋体"/>
                <w:i w:val="0"/>
                <w:color w:val="000000"/>
                <w:sz w:val="18"/>
                <w:szCs w:val="18"/>
                <w:u w:val="none"/>
              </w:rPr>
            </w:pPr>
          </w:p>
        </w:tc>
        <w:tc>
          <w:tcPr>
            <w:tcW w:w="1165" w:type="dxa"/>
            <w:shd w:val="clear" w:color="auto" w:fill="FFFFFF"/>
            <w:vAlign w:val="center"/>
          </w:tcPr>
          <w:p>
            <w:pPr>
              <w:jc w:val="left"/>
              <w:rPr>
                <w:rFonts w:hint="eastAsia" w:ascii="宋体" w:hAnsi="宋体" w:eastAsia="宋体" w:cs="宋体"/>
                <w:i w:val="0"/>
                <w:color w:val="000000"/>
                <w:sz w:val="18"/>
                <w:szCs w:val="18"/>
                <w:u w:val="none"/>
              </w:rPr>
            </w:pPr>
          </w:p>
        </w:tc>
        <w:tc>
          <w:tcPr>
            <w:tcW w:w="4592" w:type="dxa"/>
            <w:shd w:val="clear" w:color="auto" w:fill="FFFFFF"/>
            <w:vAlign w:val="center"/>
          </w:tcPr>
          <w:p>
            <w:pPr>
              <w:jc w:val="left"/>
              <w:rPr>
                <w:rFonts w:hint="eastAsia" w:ascii="宋体" w:hAnsi="宋体" w:eastAsia="宋体" w:cs="宋体"/>
                <w:i w:val="0"/>
                <w:color w:val="000000"/>
                <w:sz w:val="18"/>
                <w:szCs w:val="18"/>
                <w:u w:val="none"/>
              </w:rPr>
            </w:pPr>
          </w:p>
        </w:tc>
        <w:tc>
          <w:tcPr>
            <w:tcW w:w="2694" w:type="dxa"/>
            <w:shd w:val="clear" w:color="auto" w:fill="FFFFFF"/>
            <w:vAlign w:val="center"/>
          </w:tcPr>
          <w:p>
            <w:pPr>
              <w:jc w:val="left"/>
              <w:rPr>
                <w:rFonts w:hint="eastAsia" w:ascii="宋体" w:hAnsi="宋体" w:eastAsia="宋体" w:cs="宋体"/>
                <w:i w:val="0"/>
                <w:color w:val="000000"/>
                <w:sz w:val="18"/>
                <w:szCs w:val="18"/>
                <w:u w:val="none"/>
              </w:rPr>
            </w:pPr>
          </w:p>
        </w:tc>
        <w:tc>
          <w:tcPr>
            <w:tcW w:w="1230" w:type="dxa"/>
            <w:shd w:val="clear" w:color="auto" w:fill="FFFFFF"/>
            <w:vAlign w:val="center"/>
          </w:tcPr>
          <w:p>
            <w:pPr>
              <w:jc w:val="left"/>
              <w:rPr>
                <w:rFonts w:hint="eastAsia" w:ascii="宋体" w:hAnsi="宋体" w:eastAsia="宋体" w:cs="宋体"/>
                <w:i w:val="0"/>
                <w:color w:val="000000"/>
                <w:sz w:val="18"/>
                <w:szCs w:val="18"/>
                <w:u w:val="none"/>
              </w:rPr>
            </w:pPr>
          </w:p>
        </w:tc>
        <w:tc>
          <w:tcPr>
            <w:tcW w:w="2662"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712" w:type="dxa"/>
            <w:gridSpan w:val="3"/>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部门：甘肃省人民代表大会常务委员会人民之声报社</w:t>
            </w:r>
          </w:p>
        </w:tc>
        <w:tc>
          <w:tcPr>
            <w:tcW w:w="4592" w:type="dxa"/>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2020年度</w:t>
            </w:r>
          </w:p>
        </w:tc>
        <w:tc>
          <w:tcPr>
            <w:tcW w:w="2694"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230"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2662" w:type="dxa"/>
            <w:tcBorders>
              <w:bottom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7304"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6586"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12" w:type="dxa"/>
            <w:gridSpan w:val="3"/>
            <w:vMerge w:val="restart"/>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4592"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2694"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230"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2662"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 w:hRule="atLeast"/>
        </w:trPr>
        <w:tc>
          <w:tcPr>
            <w:tcW w:w="2712" w:type="dxa"/>
            <w:gridSpan w:val="3"/>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4592"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694"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230"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662"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712" w:type="dxa"/>
            <w:gridSpan w:val="3"/>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4592"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694"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230"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662"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04"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269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30"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66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04"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269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158.83</w:t>
            </w:r>
          </w:p>
        </w:tc>
        <w:tc>
          <w:tcPr>
            <w:tcW w:w="123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158.83</w:t>
            </w:r>
          </w:p>
        </w:tc>
        <w:tc>
          <w:tcPr>
            <w:tcW w:w="26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12"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207</w:t>
            </w:r>
          </w:p>
        </w:tc>
        <w:tc>
          <w:tcPr>
            <w:tcW w:w="4592"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文化旅游体育与传媒支出</w:t>
            </w:r>
          </w:p>
        </w:tc>
        <w:tc>
          <w:tcPr>
            <w:tcW w:w="2694"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135.30</w:t>
            </w:r>
          </w:p>
        </w:tc>
        <w:tc>
          <w:tcPr>
            <w:tcW w:w="1230"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135.30</w:t>
            </w:r>
          </w:p>
        </w:tc>
        <w:tc>
          <w:tcPr>
            <w:tcW w:w="2662"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12"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20706</w:t>
            </w:r>
          </w:p>
        </w:tc>
        <w:tc>
          <w:tcPr>
            <w:tcW w:w="4592"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新闻出版电影</w:t>
            </w:r>
          </w:p>
        </w:tc>
        <w:tc>
          <w:tcPr>
            <w:tcW w:w="2694"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135.30</w:t>
            </w:r>
          </w:p>
        </w:tc>
        <w:tc>
          <w:tcPr>
            <w:tcW w:w="1230"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135.30</w:t>
            </w:r>
          </w:p>
        </w:tc>
        <w:tc>
          <w:tcPr>
            <w:tcW w:w="2662"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712"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2070605</w:t>
            </w:r>
          </w:p>
        </w:tc>
        <w:tc>
          <w:tcPr>
            <w:tcW w:w="4592"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出版发行</w:t>
            </w:r>
          </w:p>
        </w:tc>
        <w:tc>
          <w:tcPr>
            <w:tcW w:w="269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135.30</w:t>
            </w:r>
          </w:p>
        </w:tc>
        <w:tc>
          <w:tcPr>
            <w:tcW w:w="123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135.30</w:t>
            </w:r>
          </w:p>
        </w:tc>
        <w:tc>
          <w:tcPr>
            <w:tcW w:w="26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712"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w:t>
            </w:r>
          </w:p>
        </w:tc>
        <w:tc>
          <w:tcPr>
            <w:tcW w:w="4592"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社会保障和就业支出</w:t>
            </w:r>
          </w:p>
        </w:tc>
        <w:tc>
          <w:tcPr>
            <w:tcW w:w="2694"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12.20</w:t>
            </w:r>
          </w:p>
        </w:tc>
        <w:tc>
          <w:tcPr>
            <w:tcW w:w="1230"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12.20</w:t>
            </w:r>
          </w:p>
        </w:tc>
        <w:tc>
          <w:tcPr>
            <w:tcW w:w="2662"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12"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20805</w:t>
            </w:r>
          </w:p>
        </w:tc>
        <w:tc>
          <w:tcPr>
            <w:tcW w:w="4592"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行政事业单位养老支出</w:t>
            </w:r>
          </w:p>
        </w:tc>
        <w:tc>
          <w:tcPr>
            <w:tcW w:w="2694"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12.10</w:t>
            </w:r>
          </w:p>
        </w:tc>
        <w:tc>
          <w:tcPr>
            <w:tcW w:w="1230"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12.10</w:t>
            </w:r>
          </w:p>
        </w:tc>
        <w:tc>
          <w:tcPr>
            <w:tcW w:w="2662"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12"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2080505</w:t>
            </w:r>
          </w:p>
        </w:tc>
        <w:tc>
          <w:tcPr>
            <w:tcW w:w="4592"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269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8.07</w:t>
            </w:r>
          </w:p>
        </w:tc>
        <w:tc>
          <w:tcPr>
            <w:tcW w:w="123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8.07</w:t>
            </w:r>
          </w:p>
        </w:tc>
        <w:tc>
          <w:tcPr>
            <w:tcW w:w="26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12"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2080506</w:t>
            </w:r>
          </w:p>
        </w:tc>
        <w:tc>
          <w:tcPr>
            <w:tcW w:w="4592"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机关事业单位职业年金缴费支出</w:t>
            </w:r>
          </w:p>
        </w:tc>
        <w:tc>
          <w:tcPr>
            <w:tcW w:w="269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w:t>
            </w:r>
          </w:p>
        </w:tc>
        <w:tc>
          <w:tcPr>
            <w:tcW w:w="123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w:t>
            </w:r>
          </w:p>
        </w:tc>
        <w:tc>
          <w:tcPr>
            <w:tcW w:w="26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712"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20899</w:t>
            </w:r>
          </w:p>
        </w:tc>
        <w:tc>
          <w:tcPr>
            <w:tcW w:w="4592"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其他社会保障和就业支出</w:t>
            </w:r>
          </w:p>
        </w:tc>
        <w:tc>
          <w:tcPr>
            <w:tcW w:w="2694"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0.10</w:t>
            </w:r>
          </w:p>
        </w:tc>
        <w:tc>
          <w:tcPr>
            <w:tcW w:w="1230"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0.10</w:t>
            </w:r>
          </w:p>
        </w:tc>
        <w:tc>
          <w:tcPr>
            <w:tcW w:w="2662"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712"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2089901</w:t>
            </w:r>
          </w:p>
        </w:tc>
        <w:tc>
          <w:tcPr>
            <w:tcW w:w="4592"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其他社会保障和就业支出</w:t>
            </w:r>
          </w:p>
        </w:tc>
        <w:tc>
          <w:tcPr>
            <w:tcW w:w="269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w:t>
            </w:r>
          </w:p>
        </w:tc>
        <w:tc>
          <w:tcPr>
            <w:tcW w:w="123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w:t>
            </w:r>
          </w:p>
        </w:tc>
        <w:tc>
          <w:tcPr>
            <w:tcW w:w="26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12"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w:t>
            </w:r>
          </w:p>
        </w:tc>
        <w:tc>
          <w:tcPr>
            <w:tcW w:w="4592"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卫生健康支出</w:t>
            </w:r>
          </w:p>
        </w:tc>
        <w:tc>
          <w:tcPr>
            <w:tcW w:w="2694"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5.46</w:t>
            </w:r>
          </w:p>
        </w:tc>
        <w:tc>
          <w:tcPr>
            <w:tcW w:w="1230"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5.46</w:t>
            </w:r>
          </w:p>
        </w:tc>
        <w:tc>
          <w:tcPr>
            <w:tcW w:w="2662"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12"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21011</w:t>
            </w:r>
          </w:p>
        </w:tc>
        <w:tc>
          <w:tcPr>
            <w:tcW w:w="4592"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行政事业单位医疗</w:t>
            </w:r>
          </w:p>
        </w:tc>
        <w:tc>
          <w:tcPr>
            <w:tcW w:w="2694"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5.46</w:t>
            </w:r>
          </w:p>
        </w:tc>
        <w:tc>
          <w:tcPr>
            <w:tcW w:w="1230"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5.46</w:t>
            </w:r>
          </w:p>
        </w:tc>
        <w:tc>
          <w:tcPr>
            <w:tcW w:w="2662"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12"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2101102</w:t>
            </w:r>
          </w:p>
        </w:tc>
        <w:tc>
          <w:tcPr>
            <w:tcW w:w="4592"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事业单位医疗</w:t>
            </w:r>
          </w:p>
        </w:tc>
        <w:tc>
          <w:tcPr>
            <w:tcW w:w="269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3.19</w:t>
            </w:r>
          </w:p>
        </w:tc>
        <w:tc>
          <w:tcPr>
            <w:tcW w:w="123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3.19</w:t>
            </w:r>
          </w:p>
        </w:tc>
        <w:tc>
          <w:tcPr>
            <w:tcW w:w="26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712"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2101103</w:t>
            </w:r>
          </w:p>
        </w:tc>
        <w:tc>
          <w:tcPr>
            <w:tcW w:w="4592"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w:t>
            </w:r>
          </w:p>
        </w:tc>
        <w:tc>
          <w:tcPr>
            <w:tcW w:w="269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2.27</w:t>
            </w:r>
          </w:p>
        </w:tc>
        <w:tc>
          <w:tcPr>
            <w:tcW w:w="123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2.27</w:t>
            </w:r>
          </w:p>
        </w:tc>
        <w:tc>
          <w:tcPr>
            <w:tcW w:w="26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712"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w:t>
            </w:r>
          </w:p>
        </w:tc>
        <w:tc>
          <w:tcPr>
            <w:tcW w:w="4592"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住房保障支出</w:t>
            </w:r>
          </w:p>
        </w:tc>
        <w:tc>
          <w:tcPr>
            <w:tcW w:w="2694"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5.87</w:t>
            </w:r>
          </w:p>
        </w:tc>
        <w:tc>
          <w:tcPr>
            <w:tcW w:w="1230"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5.87</w:t>
            </w:r>
          </w:p>
        </w:tc>
        <w:tc>
          <w:tcPr>
            <w:tcW w:w="2662"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12"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22102</w:t>
            </w:r>
          </w:p>
        </w:tc>
        <w:tc>
          <w:tcPr>
            <w:tcW w:w="4592"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住房改革支出</w:t>
            </w:r>
          </w:p>
        </w:tc>
        <w:tc>
          <w:tcPr>
            <w:tcW w:w="2694"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5.87</w:t>
            </w:r>
          </w:p>
        </w:tc>
        <w:tc>
          <w:tcPr>
            <w:tcW w:w="1230"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5.87</w:t>
            </w:r>
          </w:p>
        </w:tc>
        <w:tc>
          <w:tcPr>
            <w:tcW w:w="2662"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12"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w:t>
            </w:r>
          </w:p>
        </w:tc>
        <w:tc>
          <w:tcPr>
            <w:tcW w:w="4592"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269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5.87</w:t>
            </w:r>
          </w:p>
        </w:tc>
        <w:tc>
          <w:tcPr>
            <w:tcW w:w="123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5.87</w:t>
            </w:r>
          </w:p>
        </w:tc>
        <w:tc>
          <w:tcPr>
            <w:tcW w:w="26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3890" w:type="dxa"/>
            <w:gridSpan w:val="7"/>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注：本表反映部门本年度一般公共预算财政拨款支出情况。</w:t>
            </w:r>
          </w:p>
        </w:tc>
      </w:tr>
    </w:tbl>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tbl>
      <w:tblPr>
        <w:tblStyle w:val="5"/>
        <w:tblW w:w="13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7"/>
        <w:gridCol w:w="2666"/>
        <w:gridCol w:w="1356"/>
        <w:gridCol w:w="547"/>
        <w:gridCol w:w="2097"/>
        <w:gridCol w:w="1356"/>
        <w:gridCol w:w="547"/>
        <w:gridCol w:w="3418"/>
        <w:gridCol w:w="13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13890" w:type="dxa"/>
            <w:gridSpan w:val="9"/>
            <w:shd w:val="clear" w:color="auto" w:fill="FFFFFF"/>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547" w:type="dxa"/>
            <w:shd w:val="clear" w:color="auto" w:fill="FFFFFF"/>
            <w:vAlign w:val="center"/>
          </w:tcPr>
          <w:p>
            <w:pPr>
              <w:jc w:val="left"/>
              <w:rPr>
                <w:rFonts w:hint="eastAsia" w:ascii="宋体" w:hAnsi="宋体" w:eastAsia="宋体" w:cs="宋体"/>
                <w:i w:val="0"/>
                <w:color w:val="000000"/>
                <w:sz w:val="18"/>
                <w:szCs w:val="18"/>
                <w:u w:val="none"/>
              </w:rPr>
            </w:pPr>
          </w:p>
        </w:tc>
        <w:tc>
          <w:tcPr>
            <w:tcW w:w="2666" w:type="dxa"/>
            <w:shd w:val="clear" w:color="auto" w:fill="FFFFFF"/>
            <w:vAlign w:val="center"/>
          </w:tcPr>
          <w:p>
            <w:pPr>
              <w:jc w:val="left"/>
              <w:rPr>
                <w:rFonts w:hint="eastAsia" w:ascii="宋体" w:hAnsi="宋体" w:eastAsia="宋体" w:cs="宋体"/>
                <w:i w:val="0"/>
                <w:color w:val="000000"/>
                <w:sz w:val="18"/>
                <w:szCs w:val="18"/>
                <w:u w:val="none"/>
              </w:rPr>
            </w:pPr>
          </w:p>
        </w:tc>
        <w:tc>
          <w:tcPr>
            <w:tcW w:w="1356" w:type="dxa"/>
            <w:shd w:val="clear" w:color="auto" w:fill="FFFFFF"/>
            <w:vAlign w:val="center"/>
          </w:tcPr>
          <w:p>
            <w:pPr>
              <w:jc w:val="left"/>
              <w:rPr>
                <w:rFonts w:hint="eastAsia" w:ascii="宋体" w:hAnsi="宋体" w:eastAsia="宋体" w:cs="宋体"/>
                <w:i w:val="0"/>
                <w:color w:val="000000"/>
                <w:sz w:val="18"/>
                <w:szCs w:val="18"/>
                <w:u w:val="none"/>
              </w:rPr>
            </w:pPr>
          </w:p>
        </w:tc>
        <w:tc>
          <w:tcPr>
            <w:tcW w:w="547" w:type="dxa"/>
            <w:shd w:val="clear" w:color="auto" w:fill="FFFFFF"/>
            <w:vAlign w:val="center"/>
          </w:tcPr>
          <w:p>
            <w:pPr>
              <w:jc w:val="left"/>
              <w:rPr>
                <w:rFonts w:hint="eastAsia" w:ascii="宋体" w:hAnsi="宋体" w:eastAsia="宋体" w:cs="宋体"/>
                <w:i w:val="0"/>
                <w:color w:val="000000"/>
                <w:sz w:val="18"/>
                <w:szCs w:val="18"/>
                <w:u w:val="none"/>
              </w:rPr>
            </w:pPr>
          </w:p>
        </w:tc>
        <w:tc>
          <w:tcPr>
            <w:tcW w:w="2097" w:type="dxa"/>
            <w:shd w:val="clear" w:color="auto" w:fill="FFFFFF"/>
            <w:vAlign w:val="center"/>
          </w:tcPr>
          <w:p>
            <w:pPr>
              <w:jc w:val="left"/>
              <w:rPr>
                <w:rFonts w:hint="eastAsia" w:ascii="宋体" w:hAnsi="宋体" w:eastAsia="宋体" w:cs="宋体"/>
                <w:i w:val="0"/>
                <w:color w:val="000000"/>
                <w:sz w:val="18"/>
                <w:szCs w:val="18"/>
                <w:u w:val="none"/>
              </w:rPr>
            </w:pPr>
          </w:p>
        </w:tc>
        <w:tc>
          <w:tcPr>
            <w:tcW w:w="1356" w:type="dxa"/>
            <w:shd w:val="clear" w:color="auto" w:fill="FFFFFF"/>
            <w:vAlign w:val="center"/>
          </w:tcPr>
          <w:p>
            <w:pPr>
              <w:jc w:val="left"/>
              <w:rPr>
                <w:rFonts w:hint="eastAsia" w:ascii="宋体" w:hAnsi="宋体" w:eastAsia="宋体" w:cs="宋体"/>
                <w:i w:val="0"/>
                <w:color w:val="000000"/>
                <w:sz w:val="18"/>
                <w:szCs w:val="18"/>
                <w:u w:val="none"/>
              </w:rPr>
            </w:pPr>
          </w:p>
        </w:tc>
        <w:tc>
          <w:tcPr>
            <w:tcW w:w="547" w:type="dxa"/>
            <w:shd w:val="clear" w:color="auto" w:fill="FFFFFF"/>
            <w:vAlign w:val="center"/>
          </w:tcPr>
          <w:p>
            <w:pPr>
              <w:jc w:val="left"/>
              <w:rPr>
                <w:rFonts w:hint="eastAsia" w:ascii="宋体" w:hAnsi="宋体" w:eastAsia="宋体" w:cs="宋体"/>
                <w:i w:val="0"/>
                <w:color w:val="000000"/>
                <w:sz w:val="18"/>
                <w:szCs w:val="18"/>
                <w:u w:val="none"/>
              </w:rPr>
            </w:pPr>
          </w:p>
        </w:tc>
        <w:tc>
          <w:tcPr>
            <w:tcW w:w="3418" w:type="dxa"/>
            <w:shd w:val="clear" w:color="auto" w:fill="FFFFFF"/>
            <w:vAlign w:val="center"/>
          </w:tcPr>
          <w:p>
            <w:pPr>
              <w:jc w:val="left"/>
              <w:rPr>
                <w:rFonts w:hint="eastAsia" w:ascii="宋体" w:hAnsi="宋体" w:eastAsia="宋体" w:cs="宋体"/>
                <w:i w:val="0"/>
                <w:color w:val="000000"/>
                <w:sz w:val="18"/>
                <w:szCs w:val="18"/>
                <w:u w:val="none"/>
              </w:rPr>
            </w:pPr>
          </w:p>
        </w:tc>
        <w:tc>
          <w:tcPr>
            <w:tcW w:w="1356"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3213" w:type="dxa"/>
            <w:gridSpan w:val="2"/>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部门：甘肃省人民代表大会常务委员会人民之声报社</w:t>
            </w:r>
          </w:p>
        </w:tc>
        <w:tc>
          <w:tcPr>
            <w:tcW w:w="1356"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547"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2097" w:type="dxa"/>
            <w:tcBorders>
              <w:bottom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356"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547"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3418"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356" w:type="dxa"/>
            <w:tcBorders>
              <w:bottom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4569"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w:t>
            </w:r>
          </w:p>
        </w:tc>
        <w:tc>
          <w:tcPr>
            <w:tcW w:w="9321" w:type="dxa"/>
            <w:gridSpan w:val="6"/>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547" w:type="dxa"/>
            <w:vMerge w:val="restart"/>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666"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356"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547"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097"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356"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547"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3418"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356"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547" w:type="dxa"/>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666"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356"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547"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097"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356"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547"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3418"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356"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547"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266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135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75.12</w:t>
            </w: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209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135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59.67</w:t>
            </w: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341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债务利息及费用支出</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547"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266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基本工资</w:t>
            </w:r>
          </w:p>
        </w:tc>
        <w:tc>
          <w:tcPr>
            <w:tcW w:w="135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32.88</w:t>
            </w: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209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办公费</w:t>
            </w:r>
          </w:p>
        </w:tc>
        <w:tc>
          <w:tcPr>
            <w:tcW w:w="135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3.48</w:t>
            </w: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30701</w:t>
            </w:r>
          </w:p>
        </w:tc>
        <w:tc>
          <w:tcPr>
            <w:tcW w:w="341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国内债务付息</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547"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266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津贴补贴</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30202</w:t>
            </w:r>
          </w:p>
        </w:tc>
        <w:tc>
          <w:tcPr>
            <w:tcW w:w="209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印刷费</w:t>
            </w:r>
          </w:p>
        </w:tc>
        <w:tc>
          <w:tcPr>
            <w:tcW w:w="135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42.17</w:t>
            </w: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30702</w:t>
            </w:r>
          </w:p>
        </w:tc>
        <w:tc>
          <w:tcPr>
            <w:tcW w:w="341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国外债务付息</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547"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266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奖金</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30203</w:t>
            </w:r>
          </w:p>
        </w:tc>
        <w:tc>
          <w:tcPr>
            <w:tcW w:w="209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咨询费</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341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w:t>
            </w:r>
          </w:p>
        </w:tc>
        <w:tc>
          <w:tcPr>
            <w:tcW w:w="135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547"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30106</w:t>
            </w:r>
          </w:p>
        </w:tc>
        <w:tc>
          <w:tcPr>
            <w:tcW w:w="266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伙食补助费</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30204</w:t>
            </w:r>
          </w:p>
        </w:tc>
        <w:tc>
          <w:tcPr>
            <w:tcW w:w="209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手续费</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31001</w:t>
            </w:r>
          </w:p>
        </w:tc>
        <w:tc>
          <w:tcPr>
            <w:tcW w:w="341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547"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266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绩效工资</w:t>
            </w:r>
          </w:p>
        </w:tc>
        <w:tc>
          <w:tcPr>
            <w:tcW w:w="135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16.36</w:t>
            </w: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30205</w:t>
            </w:r>
          </w:p>
        </w:tc>
        <w:tc>
          <w:tcPr>
            <w:tcW w:w="209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水费</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31002</w:t>
            </w:r>
          </w:p>
        </w:tc>
        <w:tc>
          <w:tcPr>
            <w:tcW w:w="341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办公设备购置</w:t>
            </w:r>
          </w:p>
        </w:tc>
        <w:tc>
          <w:tcPr>
            <w:tcW w:w="135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547"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266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w:t>
            </w:r>
          </w:p>
        </w:tc>
        <w:tc>
          <w:tcPr>
            <w:tcW w:w="135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8.07</w:t>
            </w: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30206</w:t>
            </w:r>
          </w:p>
        </w:tc>
        <w:tc>
          <w:tcPr>
            <w:tcW w:w="209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电费</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31003</w:t>
            </w:r>
          </w:p>
        </w:tc>
        <w:tc>
          <w:tcPr>
            <w:tcW w:w="341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专用设备购置</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547"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30109</w:t>
            </w:r>
          </w:p>
        </w:tc>
        <w:tc>
          <w:tcPr>
            <w:tcW w:w="266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职业年金缴费</w:t>
            </w:r>
          </w:p>
        </w:tc>
        <w:tc>
          <w:tcPr>
            <w:tcW w:w="135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w:t>
            </w: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209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邮电费</w:t>
            </w:r>
          </w:p>
        </w:tc>
        <w:tc>
          <w:tcPr>
            <w:tcW w:w="135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0.84</w:t>
            </w: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31005</w:t>
            </w:r>
          </w:p>
        </w:tc>
        <w:tc>
          <w:tcPr>
            <w:tcW w:w="341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547"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266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职工基本医疗保险缴费</w:t>
            </w:r>
          </w:p>
        </w:tc>
        <w:tc>
          <w:tcPr>
            <w:tcW w:w="135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3.19</w:t>
            </w: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209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取暖费</w:t>
            </w:r>
          </w:p>
        </w:tc>
        <w:tc>
          <w:tcPr>
            <w:tcW w:w="135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4.37</w:t>
            </w: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31006</w:t>
            </w:r>
          </w:p>
        </w:tc>
        <w:tc>
          <w:tcPr>
            <w:tcW w:w="341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547"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30111</w:t>
            </w:r>
          </w:p>
        </w:tc>
        <w:tc>
          <w:tcPr>
            <w:tcW w:w="266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公务员医疗补助缴费</w:t>
            </w:r>
          </w:p>
        </w:tc>
        <w:tc>
          <w:tcPr>
            <w:tcW w:w="135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30209</w:t>
            </w:r>
          </w:p>
        </w:tc>
        <w:tc>
          <w:tcPr>
            <w:tcW w:w="209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物业管理费</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31007</w:t>
            </w:r>
          </w:p>
        </w:tc>
        <w:tc>
          <w:tcPr>
            <w:tcW w:w="341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547"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266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135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w:t>
            </w: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209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差旅费</w:t>
            </w:r>
          </w:p>
        </w:tc>
        <w:tc>
          <w:tcPr>
            <w:tcW w:w="135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0.92</w:t>
            </w: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31008</w:t>
            </w:r>
          </w:p>
        </w:tc>
        <w:tc>
          <w:tcPr>
            <w:tcW w:w="341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物资储备</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547"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266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135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5.87</w:t>
            </w: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30212</w:t>
            </w:r>
          </w:p>
        </w:tc>
        <w:tc>
          <w:tcPr>
            <w:tcW w:w="209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31009</w:t>
            </w:r>
          </w:p>
        </w:tc>
        <w:tc>
          <w:tcPr>
            <w:tcW w:w="341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土地补偿</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547"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30114</w:t>
            </w:r>
          </w:p>
        </w:tc>
        <w:tc>
          <w:tcPr>
            <w:tcW w:w="266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30213</w:t>
            </w:r>
          </w:p>
        </w:tc>
        <w:tc>
          <w:tcPr>
            <w:tcW w:w="209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w:t>
            </w:r>
          </w:p>
        </w:tc>
        <w:tc>
          <w:tcPr>
            <w:tcW w:w="341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安置补助</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547"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30199</w:t>
            </w:r>
          </w:p>
        </w:tc>
        <w:tc>
          <w:tcPr>
            <w:tcW w:w="266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135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0.91</w:t>
            </w: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30214</w:t>
            </w:r>
          </w:p>
        </w:tc>
        <w:tc>
          <w:tcPr>
            <w:tcW w:w="209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租赁费</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31011</w:t>
            </w:r>
          </w:p>
        </w:tc>
        <w:tc>
          <w:tcPr>
            <w:tcW w:w="341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547"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266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135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21.99</w:t>
            </w: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30215</w:t>
            </w:r>
          </w:p>
        </w:tc>
        <w:tc>
          <w:tcPr>
            <w:tcW w:w="209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31012</w:t>
            </w:r>
          </w:p>
        </w:tc>
        <w:tc>
          <w:tcPr>
            <w:tcW w:w="341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拆迁补偿</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547"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30301</w:t>
            </w:r>
          </w:p>
        </w:tc>
        <w:tc>
          <w:tcPr>
            <w:tcW w:w="266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离休费</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30216</w:t>
            </w:r>
          </w:p>
        </w:tc>
        <w:tc>
          <w:tcPr>
            <w:tcW w:w="209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w:t>
            </w:r>
          </w:p>
        </w:tc>
        <w:tc>
          <w:tcPr>
            <w:tcW w:w="135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0.22</w:t>
            </w: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31013</w:t>
            </w:r>
          </w:p>
        </w:tc>
        <w:tc>
          <w:tcPr>
            <w:tcW w:w="341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547"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30302</w:t>
            </w:r>
          </w:p>
        </w:tc>
        <w:tc>
          <w:tcPr>
            <w:tcW w:w="266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退休费</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30217</w:t>
            </w:r>
          </w:p>
        </w:tc>
        <w:tc>
          <w:tcPr>
            <w:tcW w:w="209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公务接待费</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31019</w:t>
            </w:r>
          </w:p>
        </w:tc>
        <w:tc>
          <w:tcPr>
            <w:tcW w:w="341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547"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30303</w:t>
            </w:r>
          </w:p>
        </w:tc>
        <w:tc>
          <w:tcPr>
            <w:tcW w:w="266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退职（役）费</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30218</w:t>
            </w:r>
          </w:p>
        </w:tc>
        <w:tc>
          <w:tcPr>
            <w:tcW w:w="209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专用材料费</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31021</w:t>
            </w:r>
          </w:p>
        </w:tc>
        <w:tc>
          <w:tcPr>
            <w:tcW w:w="341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文物和陈列品购置</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547"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30304</w:t>
            </w:r>
          </w:p>
        </w:tc>
        <w:tc>
          <w:tcPr>
            <w:tcW w:w="266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抚恤金</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30224</w:t>
            </w:r>
          </w:p>
        </w:tc>
        <w:tc>
          <w:tcPr>
            <w:tcW w:w="209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被装购置费</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31022</w:t>
            </w:r>
          </w:p>
        </w:tc>
        <w:tc>
          <w:tcPr>
            <w:tcW w:w="341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无形资产购置</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547"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266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生活补助</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30225</w:t>
            </w:r>
          </w:p>
        </w:tc>
        <w:tc>
          <w:tcPr>
            <w:tcW w:w="209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专用燃料费</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31099</w:t>
            </w:r>
          </w:p>
        </w:tc>
        <w:tc>
          <w:tcPr>
            <w:tcW w:w="341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547"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30306</w:t>
            </w:r>
          </w:p>
        </w:tc>
        <w:tc>
          <w:tcPr>
            <w:tcW w:w="266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救济费</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209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劳务费</w:t>
            </w:r>
          </w:p>
        </w:tc>
        <w:tc>
          <w:tcPr>
            <w:tcW w:w="135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3.78</w:t>
            </w: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341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547"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30307</w:t>
            </w:r>
          </w:p>
        </w:tc>
        <w:tc>
          <w:tcPr>
            <w:tcW w:w="266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医疗费补助</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30227</w:t>
            </w:r>
          </w:p>
        </w:tc>
        <w:tc>
          <w:tcPr>
            <w:tcW w:w="209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135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39906</w:t>
            </w:r>
          </w:p>
        </w:tc>
        <w:tc>
          <w:tcPr>
            <w:tcW w:w="341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赠与</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547"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30308</w:t>
            </w:r>
          </w:p>
        </w:tc>
        <w:tc>
          <w:tcPr>
            <w:tcW w:w="266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助学金</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209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工会经费</w:t>
            </w:r>
          </w:p>
        </w:tc>
        <w:tc>
          <w:tcPr>
            <w:tcW w:w="135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0.39</w:t>
            </w: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39907</w:t>
            </w:r>
          </w:p>
        </w:tc>
        <w:tc>
          <w:tcPr>
            <w:tcW w:w="341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547"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30309</w:t>
            </w:r>
          </w:p>
        </w:tc>
        <w:tc>
          <w:tcPr>
            <w:tcW w:w="266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奖励金</w:t>
            </w:r>
          </w:p>
        </w:tc>
        <w:tc>
          <w:tcPr>
            <w:tcW w:w="135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21.99</w:t>
            </w: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209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福利费</w:t>
            </w:r>
          </w:p>
        </w:tc>
        <w:tc>
          <w:tcPr>
            <w:tcW w:w="135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0.65</w:t>
            </w: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39908</w:t>
            </w:r>
          </w:p>
        </w:tc>
        <w:tc>
          <w:tcPr>
            <w:tcW w:w="341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对民间非营利组织和群众性自治组织补贴</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547"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30310</w:t>
            </w:r>
          </w:p>
        </w:tc>
        <w:tc>
          <w:tcPr>
            <w:tcW w:w="266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个人农业生产补贴</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209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39999</w:t>
            </w:r>
          </w:p>
        </w:tc>
        <w:tc>
          <w:tcPr>
            <w:tcW w:w="341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547"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30311</w:t>
            </w:r>
          </w:p>
        </w:tc>
        <w:tc>
          <w:tcPr>
            <w:tcW w:w="266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代缴社会保险费</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209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其他交通费用</w:t>
            </w:r>
          </w:p>
        </w:tc>
        <w:tc>
          <w:tcPr>
            <w:tcW w:w="135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0.85</w:t>
            </w: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w:t>
            </w:r>
          </w:p>
        </w:tc>
        <w:tc>
          <w:tcPr>
            <w:tcW w:w="341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对企企业补助</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547"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30399</w:t>
            </w:r>
          </w:p>
        </w:tc>
        <w:tc>
          <w:tcPr>
            <w:tcW w:w="266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其他对个人和家庭的补助</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30240</w:t>
            </w:r>
          </w:p>
        </w:tc>
        <w:tc>
          <w:tcPr>
            <w:tcW w:w="209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3418" w:type="dxa"/>
            <w:tcBorders>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547"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2666" w:type="dxa"/>
            <w:tcBorders>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209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3418" w:type="dxa"/>
            <w:tcBorders>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3213" w:type="dxa"/>
            <w:gridSpan w:val="2"/>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人员经费合计</w:t>
            </w:r>
          </w:p>
        </w:tc>
        <w:tc>
          <w:tcPr>
            <w:tcW w:w="135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97.11</w:t>
            </w:r>
          </w:p>
        </w:tc>
        <w:tc>
          <w:tcPr>
            <w:tcW w:w="7965" w:type="dxa"/>
            <w:gridSpan w:val="5"/>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公用经费合计</w:t>
            </w:r>
          </w:p>
        </w:tc>
        <w:tc>
          <w:tcPr>
            <w:tcW w:w="135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3890" w:type="dxa"/>
            <w:gridSpan w:val="9"/>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注：本表反映部门本年度一般公共预算财政拨款基本支出明细情况。</w:t>
            </w:r>
          </w:p>
        </w:tc>
      </w:tr>
    </w:tbl>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tbl>
      <w:tblPr>
        <w:tblStyle w:val="5"/>
        <w:tblW w:w="13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58"/>
        <w:gridCol w:w="1058"/>
        <w:gridCol w:w="1451"/>
        <w:gridCol w:w="987"/>
        <w:gridCol w:w="1021"/>
        <w:gridCol w:w="1451"/>
        <w:gridCol w:w="987"/>
        <w:gridCol w:w="1058"/>
        <w:gridCol w:w="987"/>
        <w:gridCol w:w="987"/>
        <w:gridCol w:w="987"/>
        <w:gridCol w:w="14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trPr>
        <w:tc>
          <w:tcPr>
            <w:tcW w:w="13890" w:type="dxa"/>
            <w:gridSpan w:val="12"/>
            <w:shd w:val="clear" w:color="auto" w:fill="FFFFFF"/>
            <w:vAlign w:val="center"/>
          </w:tcPr>
          <w:p>
            <w:pPr>
              <w:keepNext w:val="0"/>
              <w:keepLines w:val="0"/>
              <w:widowControl/>
              <w:suppressLineNumbers w:val="0"/>
              <w:jc w:val="center"/>
              <w:textAlignment w:val="center"/>
              <w:rPr>
                <w:rFonts w:ascii="黑体" w:hAnsi="宋体" w:eastAsia="黑体" w:cs="黑体"/>
                <w:i w:val="0"/>
                <w:color w:val="000000"/>
                <w:sz w:val="44"/>
                <w:szCs w:val="44"/>
                <w:u w:val="none"/>
              </w:rPr>
            </w:pPr>
            <w:r>
              <w:rPr>
                <w:rFonts w:hint="eastAsia" w:ascii="黑体" w:hAnsi="宋体" w:eastAsia="黑体" w:cs="黑体"/>
                <w:i w:val="0"/>
                <w:color w:val="000000"/>
                <w:kern w:val="0"/>
                <w:sz w:val="44"/>
                <w:szCs w:val="44"/>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58"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预算代码：</w:t>
            </w:r>
          </w:p>
        </w:tc>
        <w:tc>
          <w:tcPr>
            <w:tcW w:w="1058" w:type="dxa"/>
            <w:shd w:val="clear" w:color="auto" w:fill="FFFFFF"/>
            <w:vAlign w:val="center"/>
          </w:tcPr>
          <w:p>
            <w:pPr>
              <w:jc w:val="left"/>
              <w:rPr>
                <w:rFonts w:hint="eastAsia" w:ascii="宋体" w:hAnsi="宋体" w:eastAsia="宋体" w:cs="宋体"/>
                <w:i w:val="0"/>
                <w:color w:val="000000"/>
                <w:sz w:val="18"/>
                <w:szCs w:val="18"/>
                <w:u w:val="none"/>
              </w:rPr>
            </w:pPr>
          </w:p>
        </w:tc>
        <w:tc>
          <w:tcPr>
            <w:tcW w:w="1451" w:type="dxa"/>
            <w:shd w:val="clear" w:color="auto" w:fill="FFFFFF"/>
            <w:vAlign w:val="center"/>
          </w:tcPr>
          <w:p>
            <w:pPr>
              <w:jc w:val="left"/>
              <w:rPr>
                <w:rFonts w:hint="eastAsia" w:ascii="宋体" w:hAnsi="宋体" w:eastAsia="宋体" w:cs="宋体"/>
                <w:i w:val="0"/>
                <w:color w:val="000000"/>
                <w:sz w:val="18"/>
                <w:szCs w:val="18"/>
                <w:u w:val="none"/>
              </w:rPr>
            </w:pPr>
          </w:p>
        </w:tc>
        <w:tc>
          <w:tcPr>
            <w:tcW w:w="987" w:type="dxa"/>
            <w:shd w:val="clear" w:color="auto" w:fill="FFFFFF"/>
            <w:vAlign w:val="center"/>
          </w:tcPr>
          <w:p>
            <w:pPr>
              <w:jc w:val="left"/>
              <w:rPr>
                <w:rFonts w:hint="eastAsia" w:ascii="宋体" w:hAnsi="宋体" w:eastAsia="宋体" w:cs="宋体"/>
                <w:i w:val="0"/>
                <w:color w:val="000000"/>
                <w:sz w:val="18"/>
                <w:szCs w:val="18"/>
                <w:u w:val="none"/>
              </w:rPr>
            </w:pPr>
          </w:p>
        </w:tc>
        <w:tc>
          <w:tcPr>
            <w:tcW w:w="1021" w:type="dxa"/>
            <w:shd w:val="clear" w:color="auto" w:fill="FFFFFF"/>
            <w:vAlign w:val="center"/>
          </w:tcPr>
          <w:p>
            <w:pPr>
              <w:jc w:val="left"/>
              <w:rPr>
                <w:rFonts w:hint="eastAsia" w:ascii="宋体" w:hAnsi="宋体" w:eastAsia="宋体" w:cs="宋体"/>
                <w:i w:val="0"/>
                <w:color w:val="000000"/>
                <w:sz w:val="18"/>
                <w:szCs w:val="18"/>
                <w:u w:val="none"/>
              </w:rPr>
            </w:pPr>
          </w:p>
        </w:tc>
        <w:tc>
          <w:tcPr>
            <w:tcW w:w="1451" w:type="dxa"/>
            <w:shd w:val="clear" w:color="auto" w:fill="FFFFFF"/>
            <w:vAlign w:val="center"/>
          </w:tcPr>
          <w:p>
            <w:pPr>
              <w:jc w:val="left"/>
              <w:rPr>
                <w:rFonts w:hint="eastAsia" w:ascii="宋体" w:hAnsi="宋体" w:eastAsia="宋体" w:cs="宋体"/>
                <w:i w:val="0"/>
                <w:color w:val="000000"/>
                <w:sz w:val="18"/>
                <w:szCs w:val="18"/>
                <w:u w:val="none"/>
              </w:rPr>
            </w:pPr>
          </w:p>
        </w:tc>
        <w:tc>
          <w:tcPr>
            <w:tcW w:w="987" w:type="dxa"/>
            <w:shd w:val="clear" w:color="auto" w:fill="FFFFFF"/>
            <w:vAlign w:val="center"/>
          </w:tcPr>
          <w:p>
            <w:pPr>
              <w:jc w:val="left"/>
              <w:rPr>
                <w:rFonts w:hint="eastAsia" w:ascii="宋体" w:hAnsi="宋体" w:eastAsia="宋体" w:cs="宋体"/>
                <w:i w:val="0"/>
                <w:color w:val="000000"/>
                <w:sz w:val="18"/>
                <w:szCs w:val="18"/>
                <w:u w:val="none"/>
              </w:rPr>
            </w:pPr>
          </w:p>
        </w:tc>
        <w:tc>
          <w:tcPr>
            <w:tcW w:w="1058" w:type="dxa"/>
            <w:shd w:val="clear" w:color="auto" w:fill="FFFFFF"/>
            <w:vAlign w:val="center"/>
          </w:tcPr>
          <w:p>
            <w:pPr>
              <w:jc w:val="left"/>
              <w:rPr>
                <w:rFonts w:hint="eastAsia" w:ascii="宋体" w:hAnsi="宋体" w:eastAsia="宋体" w:cs="宋体"/>
                <w:i w:val="0"/>
                <w:color w:val="000000"/>
                <w:sz w:val="18"/>
                <w:szCs w:val="18"/>
                <w:u w:val="none"/>
              </w:rPr>
            </w:pPr>
          </w:p>
        </w:tc>
        <w:tc>
          <w:tcPr>
            <w:tcW w:w="987" w:type="dxa"/>
            <w:shd w:val="clear" w:color="auto" w:fill="FFFFFF"/>
            <w:vAlign w:val="center"/>
          </w:tcPr>
          <w:p>
            <w:pPr>
              <w:jc w:val="left"/>
              <w:rPr>
                <w:rFonts w:hint="eastAsia" w:ascii="宋体" w:hAnsi="宋体" w:eastAsia="宋体" w:cs="宋体"/>
                <w:i w:val="0"/>
                <w:color w:val="000000"/>
                <w:sz w:val="18"/>
                <w:szCs w:val="18"/>
                <w:u w:val="none"/>
              </w:rPr>
            </w:pPr>
          </w:p>
        </w:tc>
        <w:tc>
          <w:tcPr>
            <w:tcW w:w="987" w:type="dxa"/>
            <w:shd w:val="clear" w:color="auto" w:fill="FFFFFF"/>
            <w:vAlign w:val="center"/>
          </w:tcPr>
          <w:p>
            <w:pPr>
              <w:jc w:val="left"/>
              <w:rPr>
                <w:rFonts w:hint="eastAsia" w:ascii="宋体" w:hAnsi="宋体" w:eastAsia="宋体" w:cs="宋体"/>
                <w:i w:val="0"/>
                <w:color w:val="000000"/>
                <w:sz w:val="18"/>
                <w:szCs w:val="18"/>
                <w:u w:val="none"/>
              </w:rPr>
            </w:pPr>
          </w:p>
        </w:tc>
        <w:tc>
          <w:tcPr>
            <w:tcW w:w="987" w:type="dxa"/>
            <w:shd w:val="clear" w:color="auto" w:fill="FFFFFF"/>
            <w:vAlign w:val="center"/>
          </w:tcPr>
          <w:p>
            <w:pPr>
              <w:jc w:val="left"/>
              <w:rPr>
                <w:rFonts w:hint="eastAsia" w:ascii="宋体" w:hAnsi="宋体" w:eastAsia="宋体" w:cs="宋体"/>
                <w:i w:val="0"/>
                <w:color w:val="000000"/>
                <w:sz w:val="18"/>
                <w:szCs w:val="18"/>
                <w:u w:val="none"/>
              </w:rPr>
            </w:pPr>
          </w:p>
        </w:tc>
        <w:tc>
          <w:tcPr>
            <w:tcW w:w="1458"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967" w:type="dxa"/>
            <w:gridSpan w:val="3"/>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部门：甘肃省人民代表大会常务委员会人民之声报社</w:t>
            </w:r>
          </w:p>
        </w:tc>
        <w:tc>
          <w:tcPr>
            <w:tcW w:w="987"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021"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451" w:type="dxa"/>
            <w:tcBorders>
              <w:bottom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987"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058"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987"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987"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987"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458" w:type="dxa"/>
            <w:tcBorders>
              <w:bottom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426" w:type="dxa"/>
            <w:gridSpan w:val="6"/>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6464" w:type="dxa"/>
            <w:gridSpan w:val="6"/>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458" w:type="dxa"/>
            <w:vMerge w:val="restart"/>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058"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459"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451"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c>
          <w:tcPr>
            <w:tcW w:w="987"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058"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2961"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458"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458" w:type="dxa"/>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58"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45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98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102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1451"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87"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58"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8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98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98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1458"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458"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5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5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8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2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5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98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5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98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98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8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45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58" w:type="dxa"/>
            <w:tcBorders>
              <w:left w:val="single" w:color="000000" w:sz="4" w:space="0"/>
              <w:bottom w:val="single" w:color="000000" w:sz="4" w:space="0"/>
              <w:right w:val="single" w:color="000000" w:sz="4" w:space="0"/>
            </w:tcBorders>
            <w:shd w:val="clear" w:color="auto" w:fill="00FF0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w:t>
            </w:r>
          </w:p>
        </w:tc>
        <w:tc>
          <w:tcPr>
            <w:tcW w:w="105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451" w:type="dxa"/>
            <w:tcBorders>
              <w:bottom w:val="single" w:color="000000" w:sz="4" w:space="0"/>
              <w:right w:val="single" w:color="000000" w:sz="4" w:space="0"/>
            </w:tcBorders>
            <w:shd w:val="clear" w:color="auto" w:fill="00FF0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0.94</w:t>
            </w:r>
          </w:p>
        </w:tc>
        <w:tc>
          <w:tcPr>
            <w:tcW w:w="9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2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0.94</w:t>
            </w:r>
          </w:p>
        </w:tc>
        <w:tc>
          <w:tcPr>
            <w:tcW w:w="145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0.09</w:t>
            </w:r>
          </w:p>
        </w:tc>
        <w:tc>
          <w:tcPr>
            <w:tcW w:w="9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5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45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890" w:type="dxa"/>
            <w:gridSpan w:val="12"/>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tbl>
      <w:tblPr>
        <w:tblStyle w:val="5"/>
        <w:tblW w:w="138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46"/>
        <w:gridCol w:w="1056"/>
        <w:gridCol w:w="1055"/>
        <w:gridCol w:w="4313"/>
        <w:gridCol w:w="1832"/>
        <w:gridCol w:w="1056"/>
        <w:gridCol w:w="1056"/>
        <w:gridCol w:w="1056"/>
        <w:gridCol w:w="1055"/>
        <w:gridCol w:w="1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13881" w:type="dxa"/>
            <w:gridSpan w:val="10"/>
            <w:shd w:val="clear" w:color="auto" w:fill="FFFFFF"/>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46" w:type="dxa"/>
            <w:shd w:val="clear" w:color="auto" w:fill="FFFFFF"/>
            <w:vAlign w:val="center"/>
          </w:tcPr>
          <w:p>
            <w:pPr>
              <w:jc w:val="left"/>
              <w:rPr>
                <w:rFonts w:hint="eastAsia" w:ascii="宋体" w:hAnsi="宋体" w:eastAsia="宋体" w:cs="宋体"/>
                <w:i w:val="0"/>
                <w:color w:val="000000"/>
                <w:sz w:val="18"/>
                <w:szCs w:val="18"/>
                <w:u w:val="none"/>
              </w:rPr>
            </w:pPr>
          </w:p>
        </w:tc>
        <w:tc>
          <w:tcPr>
            <w:tcW w:w="1056" w:type="dxa"/>
            <w:shd w:val="clear" w:color="auto" w:fill="FFFFFF"/>
            <w:vAlign w:val="center"/>
          </w:tcPr>
          <w:p>
            <w:pPr>
              <w:jc w:val="left"/>
              <w:rPr>
                <w:rFonts w:hint="eastAsia" w:ascii="宋体" w:hAnsi="宋体" w:eastAsia="宋体" w:cs="宋体"/>
                <w:i w:val="0"/>
                <w:color w:val="000000"/>
                <w:sz w:val="18"/>
                <w:szCs w:val="18"/>
                <w:u w:val="none"/>
              </w:rPr>
            </w:pPr>
          </w:p>
        </w:tc>
        <w:tc>
          <w:tcPr>
            <w:tcW w:w="1055" w:type="dxa"/>
            <w:shd w:val="clear" w:color="auto" w:fill="FFFFFF"/>
            <w:vAlign w:val="center"/>
          </w:tcPr>
          <w:p>
            <w:pPr>
              <w:jc w:val="left"/>
              <w:rPr>
                <w:rFonts w:hint="eastAsia" w:ascii="宋体" w:hAnsi="宋体" w:eastAsia="宋体" w:cs="宋体"/>
                <w:i w:val="0"/>
                <w:color w:val="000000"/>
                <w:sz w:val="18"/>
                <w:szCs w:val="18"/>
                <w:u w:val="none"/>
              </w:rPr>
            </w:pPr>
          </w:p>
        </w:tc>
        <w:tc>
          <w:tcPr>
            <w:tcW w:w="4313" w:type="dxa"/>
            <w:shd w:val="clear" w:color="auto" w:fill="FFFFFF"/>
            <w:vAlign w:val="center"/>
          </w:tcPr>
          <w:p>
            <w:pPr>
              <w:jc w:val="left"/>
              <w:rPr>
                <w:rFonts w:hint="eastAsia" w:ascii="宋体" w:hAnsi="宋体" w:eastAsia="宋体" w:cs="宋体"/>
                <w:i w:val="0"/>
                <w:color w:val="000000"/>
                <w:sz w:val="18"/>
                <w:szCs w:val="18"/>
                <w:u w:val="none"/>
              </w:rPr>
            </w:pPr>
          </w:p>
        </w:tc>
        <w:tc>
          <w:tcPr>
            <w:tcW w:w="1832" w:type="dxa"/>
            <w:shd w:val="clear" w:color="auto" w:fill="FFFFFF"/>
            <w:vAlign w:val="center"/>
          </w:tcPr>
          <w:p>
            <w:pPr>
              <w:jc w:val="left"/>
              <w:rPr>
                <w:rFonts w:hint="eastAsia" w:ascii="宋体" w:hAnsi="宋体" w:eastAsia="宋体" w:cs="宋体"/>
                <w:i w:val="0"/>
                <w:color w:val="000000"/>
                <w:sz w:val="18"/>
                <w:szCs w:val="18"/>
                <w:u w:val="none"/>
              </w:rPr>
            </w:pPr>
          </w:p>
        </w:tc>
        <w:tc>
          <w:tcPr>
            <w:tcW w:w="1056" w:type="dxa"/>
            <w:shd w:val="clear" w:color="auto" w:fill="FFFFFF"/>
            <w:vAlign w:val="center"/>
          </w:tcPr>
          <w:p>
            <w:pPr>
              <w:jc w:val="left"/>
              <w:rPr>
                <w:rFonts w:hint="eastAsia" w:ascii="宋体" w:hAnsi="宋体" w:eastAsia="宋体" w:cs="宋体"/>
                <w:i w:val="0"/>
                <w:color w:val="000000"/>
                <w:sz w:val="18"/>
                <w:szCs w:val="18"/>
                <w:u w:val="none"/>
              </w:rPr>
            </w:pPr>
          </w:p>
        </w:tc>
        <w:tc>
          <w:tcPr>
            <w:tcW w:w="1056" w:type="dxa"/>
            <w:shd w:val="clear" w:color="auto" w:fill="FFFFFF"/>
            <w:vAlign w:val="center"/>
          </w:tcPr>
          <w:p>
            <w:pPr>
              <w:jc w:val="left"/>
              <w:rPr>
                <w:rFonts w:hint="eastAsia" w:ascii="宋体" w:hAnsi="宋体" w:eastAsia="宋体" w:cs="宋体"/>
                <w:i w:val="0"/>
                <w:color w:val="000000"/>
                <w:sz w:val="18"/>
                <w:szCs w:val="18"/>
                <w:u w:val="none"/>
              </w:rPr>
            </w:pPr>
          </w:p>
        </w:tc>
        <w:tc>
          <w:tcPr>
            <w:tcW w:w="1056" w:type="dxa"/>
            <w:shd w:val="clear" w:color="auto" w:fill="FFFFFF"/>
            <w:vAlign w:val="center"/>
          </w:tcPr>
          <w:p>
            <w:pPr>
              <w:jc w:val="left"/>
              <w:rPr>
                <w:rFonts w:hint="eastAsia" w:ascii="宋体" w:hAnsi="宋体" w:eastAsia="宋体" w:cs="宋体"/>
                <w:i w:val="0"/>
                <w:color w:val="000000"/>
                <w:sz w:val="18"/>
                <w:szCs w:val="18"/>
                <w:u w:val="none"/>
              </w:rPr>
            </w:pPr>
          </w:p>
        </w:tc>
        <w:tc>
          <w:tcPr>
            <w:tcW w:w="1055" w:type="dxa"/>
            <w:shd w:val="clear" w:color="auto" w:fill="FFFFFF"/>
            <w:vAlign w:val="center"/>
          </w:tcPr>
          <w:p>
            <w:pPr>
              <w:jc w:val="left"/>
              <w:rPr>
                <w:rFonts w:hint="eastAsia" w:ascii="宋体" w:hAnsi="宋体" w:eastAsia="宋体" w:cs="宋体"/>
                <w:i w:val="0"/>
                <w:color w:val="000000"/>
                <w:sz w:val="18"/>
                <w:szCs w:val="18"/>
                <w:u w:val="none"/>
              </w:rPr>
            </w:pPr>
          </w:p>
        </w:tc>
        <w:tc>
          <w:tcPr>
            <w:tcW w:w="1056"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770" w:type="dxa"/>
            <w:gridSpan w:val="4"/>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部门：甘肃省人民代表大会常务委员会人民之声报社</w:t>
            </w:r>
          </w:p>
        </w:tc>
        <w:tc>
          <w:tcPr>
            <w:tcW w:w="1832" w:type="dxa"/>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2020年度</w:t>
            </w:r>
          </w:p>
        </w:tc>
        <w:tc>
          <w:tcPr>
            <w:tcW w:w="1056"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056"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056"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055"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056" w:type="dxa"/>
            <w:tcBorders>
              <w:bottom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770"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832"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年初结转和结余</w:t>
            </w:r>
          </w:p>
        </w:tc>
        <w:tc>
          <w:tcPr>
            <w:tcW w:w="1056"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w:t>
            </w:r>
          </w:p>
        </w:tc>
        <w:tc>
          <w:tcPr>
            <w:tcW w:w="3167"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c>
          <w:tcPr>
            <w:tcW w:w="1056"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457" w:type="dxa"/>
            <w:gridSpan w:val="3"/>
            <w:vMerge w:val="restart"/>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4313"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832"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56"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56"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056"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055"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1056"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457" w:type="dxa"/>
            <w:gridSpan w:val="3"/>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4313"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832"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56"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56"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56"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5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56"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457" w:type="dxa"/>
            <w:gridSpan w:val="3"/>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4313"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832"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56"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56"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56"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5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56"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770"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83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5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6770"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83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0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0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0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0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0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457" w:type="dxa"/>
            <w:gridSpan w:val="3"/>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4313" w:type="dxa"/>
            <w:tcBorders>
              <w:bottom w:val="single" w:color="000000" w:sz="4" w:space="0"/>
              <w:right w:val="single" w:color="000000" w:sz="4" w:space="0"/>
            </w:tcBorders>
            <w:shd w:val="clear" w:color="auto" w:fill="CCFFFF"/>
            <w:vAlign w:val="center"/>
          </w:tcPr>
          <w:p>
            <w:pPr>
              <w:jc w:val="left"/>
              <w:rPr>
                <w:rFonts w:hint="eastAsia" w:ascii="宋体" w:hAnsi="宋体" w:eastAsia="宋体" w:cs="宋体"/>
                <w:i w:val="0"/>
                <w:color w:val="000000"/>
                <w:sz w:val="20"/>
                <w:szCs w:val="20"/>
                <w:u w:val="none"/>
              </w:rPr>
            </w:pPr>
          </w:p>
        </w:tc>
        <w:tc>
          <w:tcPr>
            <w:tcW w:w="183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3881" w:type="dxa"/>
            <w:gridSpan w:val="10"/>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注：本表反映部门本年度政府性基金预算财政拨款收入、支出及结转和结余情况。</w:t>
            </w:r>
          </w:p>
        </w:tc>
      </w:tr>
    </w:tbl>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tbl>
      <w:tblPr>
        <w:tblStyle w:val="5"/>
        <w:tblW w:w="13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74"/>
        <w:gridCol w:w="1251"/>
        <w:gridCol w:w="1251"/>
        <w:gridCol w:w="5103"/>
        <w:gridCol w:w="2172"/>
        <w:gridCol w:w="1260"/>
        <w:gridCol w:w="21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13890" w:type="dxa"/>
            <w:gridSpan w:val="7"/>
            <w:shd w:val="clear" w:color="auto" w:fill="FFFFFF"/>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674" w:type="dxa"/>
            <w:shd w:val="clear" w:color="auto" w:fill="FFFFFF"/>
            <w:vAlign w:val="center"/>
          </w:tcPr>
          <w:p>
            <w:pPr>
              <w:jc w:val="left"/>
              <w:rPr>
                <w:rFonts w:hint="eastAsia" w:ascii="宋体" w:hAnsi="宋体" w:eastAsia="宋体" w:cs="宋体"/>
                <w:i w:val="0"/>
                <w:color w:val="000000"/>
                <w:sz w:val="22"/>
                <w:szCs w:val="22"/>
                <w:u w:val="none"/>
              </w:rPr>
            </w:pPr>
          </w:p>
        </w:tc>
        <w:tc>
          <w:tcPr>
            <w:tcW w:w="1251" w:type="dxa"/>
            <w:shd w:val="clear" w:color="auto" w:fill="FFFFFF"/>
            <w:vAlign w:val="center"/>
          </w:tcPr>
          <w:p>
            <w:pPr>
              <w:jc w:val="left"/>
              <w:rPr>
                <w:rFonts w:hint="eastAsia" w:ascii="宋体" w:hAnsi="宋体" w:eastAsia="宋体" w:cs="宋体"/>
                <w:i w:val="0"/>
                <w:color w:val="000000"/>
                <w:sz w:val="18"/>
                <w:szCs w:val="18"/>
                <w:u w:val="none"/>
              </w:rPr>
            </w:pPr>
          </w:p>
        </w:tc>
        <w:tc>
          <w:tcPr>
            <w:tcW w:w="1251" w:type="dxa"/>
            <w:shd w:val="clear" w:color="auto" w:fill="FFFFFF"/>
            <w:vAlign w:val="center"/>
          </w:tcPr>
          <w:p>
            <w:pPr>
              <w:jc w:val="left"/>
              <w:rPr>
                <w:rFonts w:hint="eastAsia" w:ascii="宋体" w:hAnsi="宋体" w:eastAsia="宋体" w:cs="宋体"/>
                <w:i w:val="0"/>
                <w:color w:val="000000"/>
                <w:sz w:val="18"/>
                <w:szCs w:val="18"/>
                <w:u w:val="none"/>
              </w:rPr>
            </w:pPr>
          </w:p>
        </w:tc>
        <w:tc>
          <w:tcPr>
            <w:tcW w:w="5103" w:type="dxa"/>
            <w:shd w:val="clear" w:color="auto" w:fill="FFFFFF"/>
            <w:vAlign w:val="center"/>
          </w:tcPr>
          <w:p>
            <w:pPr>
              <w:jc w:val="left"/>
              <w:rPr>
                <w:rFonts w:hint="eastAsia" w:ascii="宋体" w:hAnsi="宋体" w:eastAsia="宋体" w:cs="宋体"/>
                <w:i w:val="0"/>
                <w:color w:val="000000"/>
                <w:sz w:val="18"/>
                <w:szCs w:val="18"/>
                <w:u w:val="none"/>
              </w:rPr>
            </w:pPr>
          </w:p>
        </w:tc>
        <w:tc>
          <w:tcPr>
            <w:tcW w:w="2172" w:type="dxa"/>
            <w:shd w:val="clear" w:color="auto" w:fill="FFFFFF"/>
            <w:vAlign w:val="center"/>
          </w:tcPr>
          <w:p>
            <w:pPr>
              <w:jc w:val="left"/>
              <w:rPr>
                <w:rFonts w:hint="eastAsia" w:ascii="宋体" w:hAnsi="宋体" w:eastAsia="宋体" w:cs="宋体"/>
                <w:i w:val="0"/>
                <w:color w:val="000000"/>
                <w:sz w:val="18"/>
                <w:szCs w:val="18"/>
                <w:u w:val="none"/>
              </w:rPr>
            </w:pPr>
          </w:p>
        </w:tc>
        <w:tc>
          <w:tcPr>
            <w:tcW w:w="1260" w:type="dxa"/>
            <w:shd w:val="clear" w:color="auto" w:fill="FFFFFF"/>
            <w:vAlign w:val="center"/>
          </w:tcPr>
          <w:p>
            <w:pPr>
              <w:jc w:val="left"/>
              <w:rPr>
                <w:rFonts w:hint="eastAsia" w:ascii="宋体" w:hAnsi="宋体" w:eastAsia="宋体" w:cs="宋体"/>
                <w:i w:val="0"/>
                <w:color w:val="000000"/>
                <w:sz w:val="18"/>
                <w:szCs w:val="18"/>
                <w:u w:val="none"/>
              </w:rPr>
            </w:pPr>
          </w:p>
        </w:tc>
        <w:tc>
          <w:tcPr>
            <w:tcW w:w="2179" w:type="dxa"/>
            <w:shd w:val="clear" w:color="auto"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74" w:type="dxa"/>
            <w:shd w:val="clear" w:color="auto" w:fill="FFFFFF"/>
            <w:vAlign w:val="center"/>
          </w:tcPr>
          <w:p>
            <w:pPr>
              <w:jc w:val="left"/>
              <w:rPr>
                <w:rFonts w:hint="eastAsia" w:ascii="宋体" w:hAnsi="宋体" w:eastAsia="宋体" w:cs="宋体"/>
                <w:i w:val="0"/>
                <w:color w:val="000000"/>
                <w:sz w:val="18"/>
                <w:szCs w:val="18"/>
                <w:u w:val="none"/>
              </w:rPr>
            </w:pPr>
          </w:p>
        </w:tc>
        <w:tc>
          <w:tcPr>
            <w:tcW w:w="1251" w:type="dxa"/>
            <w:shd w:val="clear" w:color="auto" w:fill="FFFFFF"/>
            <w:vAlign w:val="center"/>
          </w:tcPr>
          <w:p>
            <w:pPr>
              <w:jc w:val="left"/>
              <w:rPr>
                <w:rFonts w:hint="eastAsia" w:ascii="宋体" w:hAnsi="宋体" w:eastAsia="宋体" w:cs="宋体"/>
                <w:i w:val="0"/>
                <w:color w:val="000000"/>
                <w:sz w:val="18"/>
                <w:szCs w:val="18"/>
                <w:u w:val="none"/>
              </w:rPr>
            </w:pPr>
          </w:p>
        </w:tc>
        <w:tc>
          <w:tcPr>
            <w:tcW w:w="1251" w:type="dxa"/>
            <w:shd w:val="clear" w:color="auto" w:fill="FFFFFF"/>
            <w:vAlign w:val="center"/>
          </w:tcPr>
          <w:p>
            <w:pPr>
              <w:jc w:val="left"/>
              <w:rPr>
                <w:rFonts w:hint="eastAsia" w:ascii="宋体" w:hAnsi="宋体" w:eastAsia="宋体" w:cs="宋体"/>
                <w:i w:val="0"/>
                <w:color w:val="000000"/>
                <w:sz w:val="18"/>
                <w:szCs w:val="18"/>
                <w:u w:val="none"/>
              </w:rPr>
            </w:pPr>
          </w:p>
        </w:tc>
        <w:tc>
          <w:tcPr>
            <w:tcW w:w="5103" w:type="dxa"/>
            <w:shd w:val="clear" w:color="auto" w:fill="FFFFFF"/>
            <w:vAlign w:val="center"/>
          </w:tcPr>
          <w:p>
            <w:pPr>
              <w:jc w:val="left"/>
              <w:rPr>
                <w:rFonts w:hint="eastAsia" w:ascii="宋体" w:hAnsi="宋体" w:eastAsia="宋体" w:cs="宋体"/>
                <w:i w:val="0"/>
                <w:color w:val="000000"/>
                <w:sz w:val="18"/>
                <w:szCs w:val="18"/>
                <w:u w:val="none"/>
              </w:rPr>
            </w:pPr>
          </w:p>
        </w:tc>
        <w:tc>
          <w:tcPr>
            <w:tcW w:w="2172" w:type="dxa"/>
            <w:shd w:val="clear" w:color="auto" w:fill="FFFFFF"/>
            <w:vAlign w:val="center"/>
          </w:tcPr>
          <w:p>
            <w:pPr>
              <w:jc w:val="left"/>
              <w:rPr>
                <w:rFonts w:hint="eastAsia" w:ascii="宋体" w:hAnsi="宋体" w:eastAsia="宋体" w:cs="宋体"/>
                <w:i w:val="0"/>
                <w:color w:val="000000"/>
                <w:sz w:val="18"/>
                <w:szCs w:val="18"/>
                <w:u w:val="none"/>
              </w:rPr>
            </w:pPr>
          </w:p>
        </w:tc>
        <w:tc>
          <w:tcPr>
            <w:tcW w:w="1260" w:type="dxa"/>
            <w:shd w:val="clear" w:color="auto" w:fill="FFFFFF"/>
            <w:vAlign w:val="center"/>
          </w:tcPr>
          <w:p>
            <w:pPr>
              <w:jc w:val="left"/>
              <w:rPr>
                <w:rFonts w:hint="eastAsia" w:ascii="宋体" w:hAnsi="宋体" w:eastAsia="宋体" w:cs="宋体"/>
                <w:i w:val="0"/>
                <w:color w:val="000000"/>
                <w:sz w:val="18"/>
                <w:szCs w:val="18"/>
                <w:u w:val="none"/>
              </w:rPr>
            </w:pPr>
          </w:p>
        </w:tc>
        <w:tc>
          <w:tcPr>
            <w:tcW w:w="2179"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176" w:type="dxa"/>
            <w:gridSpan w:val="3"/>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部门：甘肃省人民代表大会常务委员会人民之声报社</w:t>
            </w:r>
          </w:p>
        </w:tc>
        <w:tc>
          <w:tcPr>
            <w:tcW w:w="5103" w:type="dxa"/>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2020年度</w:t>
            </w:r>
          </w:p>
        </w:tc>
        <w:tc>
          <w:tcPr>
            <w:tcW w:w="2172"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260"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2179" w:type="dxa"/>
            <w:tcBorders>
              <w:bottom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8279"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5611"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176" w:type="dxa"/>
            <w:gridSpan w:val="3"/>
            <w:vMerge w:val="restart"/>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5103"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2172"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260"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2179"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3176" w:type="dxa"/>
            <w:gridSpan w:val="3"/>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5103"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172"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260"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179"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176" w:type="dxa"/>
            <w:gridSpan w:val="3"/>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5103"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172"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260"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179"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279"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217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60"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179"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279"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2172" w:type="dxa"/>
            <w:tcBorders>
              <w:bottom w:val="single" w:color="000000" w:sz="4" w:space="0"/>
              <w:right w:val="single" w:color="000000" w:sz="4" w:space="0"/>
            </w:tcBorders>
            <w:shd w:val="clear" w:color="auto" w:fill="00FF00"/>
            <w:vAlign w:val="center"/>
          </w:tcPr>
          <w:p>
            <w:pPr>
              <w:jc w:val="right"/>
              <w:rPr>
                <w:rFonts w:hint="eastAsia" w:ascii="宋体" w:hAnsi="宋体" w:eastAsia="宋体" w:cs="宋体"/>
                <w:b/>
                <w:i w:val="0"/>
                <w:color w:val="000000"/>
                <w:sz w:val="20"/>
                <w:szCs w:val="20"/>
                <w:u w:val="none"/>
              </w:rPr>
            </w:pPr>
          </w:p>
        </w:tc>
        <w:tc>
          <w:tcPr>
            <w:tcW w:w="1260" w:type="dxa"/>
            <w:tcBorders>
              <w:bottom w:val="single" w:color="000000" w:sz="4" w:space="0"/>
              <w:right w:val="single" w:color="000000" w:sz="4" w:space="0"/>
            </w:tcBorders>
            <w:shd w:val="clear" w:color="auto" w:fill="00FF00"/>
            <w:vAlign w:val="center"/>
          </w:tcPr>
          <w:p>
            <w:pPr>
              <w:jc w:val="right"/>
              <w:rPr>
                <w:rFonts w:hint="eastAsia" w:ascii="宋体" w:hAnsi="宋体" w:eastAsia="宋体" w:cs="宋体"/>
                <w:b/>
                <w:i w:val="0"/>
                <w:color w:val="000000"/>
                <w:sz w:val="20"/>
                <w:szCs w:val="20"/>
                <w:u w:val="none"/>
              </w:rPr>
            </w:pPr>
          </w:p>
        </w:tc>
        <w:tc>
          <w:tcPr>
            <w:tcW w:w="2179" w:type="dxa"/>
            <w:tcBorders>
              <w:bottom w:val="single" w:color="000000" w:sz="4" w:space="0"/>
              <w:right w:val="single" w:color="000000" w:sz="4" w:space="0"/>
            </w:tcBorders>
            <w:shd w:val="clear" w:color="auto" w:fill="00FF0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3176" w:type="dxa"/>
            <w:gridSpan w:val="3"/>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5103" w:type="dxa"/>
            <w:tcBorders>
              <w:bottom w:val="single" w:color="000000" w:sz="4" w:space="0"/>
              <w:right w:val="single" w:color="000000" w:sz="4" w:space="0"/>
            </w:tcBorders>
            <w:shd w:val="clear" w:color="auto" w:fill="CCFFFF"/>
            <w:vAlign w:val="center"/>
          </w:tcPr>
          <w:p>
            <w:pPr>
              <w:jc w:val="left"/>
              <w:rPr>
                <w:rFonts w:hint="eastAsia" w:ascii="宋体" w:hAnsi="宋体" w:eastAsia="宋体" w:cs="宋体"/>
                <w:i w:val="0"/>
                <w:color w:val="000000"/>
                <w:sz w:val="20"/>
                <w:szCs w:val="20"/>
                <w:u w:val="none"/>
              </w:rPr>
            </w:pPr>
          </w:p>
        </w:tc>
        <w:tc>
          <w:tcPr>
            <w:tcW w:w="217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26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17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3890" w:type="dxa"/>
            <w:gridSpan w:val="7"/>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注：本表反映部门本年度国有资本经营预算财政拨款支出情况。</w:t>
            </w:r>
          </w:p>
        </w:tc>
      </w:tr>
    </w:tbl>
    <w:p>
      <w:pPr>
        <w:jc w:val="left"/>
        <w:rPr>
          <w:rFonts w:hint="default"/>
          <w:lang w:val="en-US" w:eastAsia="zh-CN"/>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14"/>
    <w:rsid w:val="00473E14"/>
    <w:rsid w:val="00596EF9"/>
    <w:rsid w:val="03C50F52"/>
    <w:rsid w:val="0542053A"/>
    <w:rsid w:val="0A51259E"/>
    <w:rsid w:val="0BF63CFE"/>
    <w:rsid w:val="0C503FE3"/>
    <w:rsid w:val="10936367"/>
    <w:rsid w:val="13805D32"/>
    <w:rsid w:val="1A435BEA"/>
    <w:rsid w:val="1CB62EFC"/>
    <w:rsid w:val="2B554637"/>
    <w:rsid w:val="34511A76"/>
    <w:rsid w:val="37A55D4B"/>
    <w:rsid w:val="39E5018A"/>
    <w:rsid w:val="3CA52A93"/>
    <w:rsid w:val="3FE85177"/>
    <w:rsid w:val="43942365"/>
    <w:rsid w:val="5A31729A"/>
    <w:rsid w:val="5F8A24FE"/>
    <w:rsid w:val="714C35EF"/>
    <w:rsid w:val="71E40816"/>
    <w:rsid w:val="751D7E9C"/>
    <w:rsid w:val="758E3708"/>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1190</Words>
  <Characters>6786</Characters>
  <Lines>56</Lines>
  <Paragraphs>15</Paragraphs>
  <ScaleCrop>false</ScaleCrop>
  <LinksUpToDate>false</LinksUpToDate>
  <CharactersWithSpaces>7961</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2021-08-19T07:29:00Z</dcterms:created>
  <dc:creator>Administrator</dc:creator>
  <cp:lastModifiedBy>Administrator</cp:lastModifiedBy>
  <dcterms:modified xsi:type="dcterms:W3CDTF">2021-08-25T07:42:12Z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87A90D6C8C7240F9AD60DF33B2992B08</vt:lpwstr>
  </property>
</Properties>
</file>