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60" w:lineRule="exact"/>
        <w:jc w:val="center"/>
        <w:rPr>
          <w:rFonts w:hint="eastAsia" w:ascii="黑体" w:hAnsi="黑体" w:eastAsia="黑体" w:cs="Times New Roman"/>
          <w:b/>
          <w:sz w:val="48"/>
          <w:szCs w:val="44"/>
          <w:lang w:val="en-US" w:eastAsia="zh-CN" w:bidi="en-US"/>
        </w:rPr>
      </w:pPr>
    </w:p>
    <w:p>
      <w:pPr>
        <w:spacing w:line="660" w:lineRule="exact"/>
        <w:jc w:val="center"/>
        <w:rPr>
          <w:rFonts w:hint="eastAsia" w:ascii="黑体" w:hAnsi="黑体" w:eastAsia="黑体" w:cs="Times New Roman"/>
          <w:b/>
          <w:sz w:val="48"/>
          <w:szCs w:val="44"/>
          <w:lang w:val="en-US" w:eastAsia="zh-CN" w:bidi="en-US"/>
        </w:rPr>
      </w:pPr>
    </w:p>
    <w:p>
      <w:pPr>
        <w:spacing w:line="660" w:lineRule="exact"/>
        <w:jc w:val="center"/>
        <w:rPr>
          <w:rFonts w:hint="eastAsia" w:ascii="黑体" w:hAnsi="黑体" w:eastAsia="黑体" w:cs="Times New Roman"/>
          <w:b/>
          <w:sz w:val="48"/>
          <w:szCs w:val="44"/>
          <w:lang w:val="en-US" w:eastAsia="zh-CN" w:bidi="en-US"/>
        </w:rPr>
      </w:pPr>
    </w:p>
    <w:p>
      <w:pPr>
        <w:spacing w:line="660" w:lineRule="exact"/>
        <w:jc w:val="center"/>
        <w:outlineLvl w:val="9"/>
        <w:rPr>
          <w:rFonts w:ascii="黑体" w:hAnsi="黑体" w:eastAsia="黑体" w:cs="Times New Roman"/>
          <w:b/>
          <w:sz w:val="48"/>
          <w:szCs w:val="44"/>
        </w:rPr>
      </w:pPr>
      <w:r>
        <w:rPr>
          <w:rFonts w:hint="eastAsia" w:ascii="黑体" w:hAnsi="黑体" w:eastAsia="黑体" w:cs="Times New Roman"/>
          <w:b/>
          <w:sz w:val="48"/>
          <w:szCs w:val="44"/>
          <w:lang w:val="en-US" w:eastAsia="zh-CN" w:bidi="en-US"/>
        </w:rPr>
        <w:t>甘肃省人民代表大会常务委员会办公厅</w:t>
      </w:r>
      <w:r>
        <w:rPr>
          <w:rFonts w:ascii="黑体" w:hAnsi="黑体" w:eastAsia="黑体" w:cs="Times New Roman"/>
          <w:b/>
          <w:sz w:val="48"/>
          <w:szCs w:val="44"/>
          <w:lang w:bidi="en-US"/>
        </w:rPr>
        <w:t>项目绩效评价</w:t>
      </w:r>
      <w:r>
        <w:rPr>
          <w:rFonts w:hint="eastAsia" w:ascii="黑体" w:hAnsi="黑体" w:eastAsia="黑体" w:cs="Times New Roman"/>
          <w:b/>
          <w:sz w:val="48"/>
          <w:szCs w:val="44"/>
        </w:rPr>
        <w:t>报告</w:t>
      </w:r>
    </w:p>
    <w:p>
      <w:pPr>
        <w:spacing w:before="120" w:line="660" w:lineRule="exact"/>
        <w:rPr>
          <w:rFonts w:ascii="黑体" w:hAnsi="黑体" w:eastAsia="黑体" w:cs="Times New Roman"/>
          <w:b/>
          <w:sz w:val="28"/>
          <w:szCs w:val="28"/>
        </w:rPr>
      </w:pPr>
    </w:p>
    <w:p>
      <w:pPr>
        <w:spacing w:before="120" w:line="660" w:lineRule="exact"/>
        <w:rPr>
          <w:rFonts w:ascii="黑体" w:hAnsi="黑体" w:eastAsia="黑体" w:cs="Times New Roman"/>
          <w:b/>
          <w:sz w:val="28"/>
          <w:szCs w:val="28"/>
        </w:rPr>
      </w:pPr>
    </w:p>
    <w:p>
      <w:pPr>
        <w:spacing w:before="120" w:line="660" w:lineRule="exact"/>
        <w:rPr>
          <w:rFonts w:ascii="黑体" w:hAnsi="黑体" w:eastAsia="黑体" w:cs="Times New Roman"/>
          <w:b/>
          <w:sz w:val="28"/>
          <w:szCs w:val="28"/>
        </w:rPr>
      </w:pPr>
    </w:p>
    <w:p>
      <w:pPr>
        <w:spacing w:before="120" w:line="660" w:lineRule="exact"/>
        <w:ind w:firstLine="1680" w:firstLineChars="600"/>
        <w:rPr>
          <w:rFonts w:hint="eastAsia" w:ascii="黑体" w:hAnsi="黑体" w:eastAsia="黑体" w:cs="Times New Roman"/>
          <w:bCs/>
          <w:sz w:val="28"/>
          <w:szCs w:val="28"/>
          <w:lang w:val="en-US" w:eastAsia="zh-CN"/>
        </w:rPr>
      </w:pPr>
      <w:r>
        <w:rPr>
          <w:rFonts w:ascii="黑体" w:hAnsi="黑体" w:eastAsia="黑体" w:cs="Times New Roman"/>
          <w:bCs/>
          <w:sz w:val="28"/>
          <w:szCs w:val="28"/>
        </w:rPr>
        <w:t>项目名称：</w:t>
      </w:r>
      <w:r>
        <w:rPr>
          <w:rFonts w:hint="eastAsia" w:ascii="黑体" w:hAnsi="黑体" w:eastAsia="黑体" w:cs="Times New Roman"/>
          <w:bCs/>
          <w:sz w:val="28"/>
          <w:szCs w:val="28"/>
          <w:lang w:val="en-US" w:eastAsia="zh-CN"/>
        </w:rPr>
        <w:t>2021年度业务费</w:t>
      </w:r>
    </w:p>
    <w:p>
      <w:pPr>
        <w:spacing w:before="120" w:line="660" w:lineRule="exact"/>
        <w:ind w:firstLine="1680" w:firstLineChars="600"/>
        <w:rPr>
          <w:rFonts w:hint="default" w:ascii="黑体" w:hAnsi="黑体" w:eastAsia="黑体" w:cs="Times New Roman"/>
          <w:bCs/>
          <w:sz w:val="28"/>
          <w:szCs w:val="28"/>
          <w:lang w:val="en-US" w:eastAsia="zh-CN"/>
        </w:rPr>
      </w:pPr>
      <w:r>
        <w:rPr>
          <w:rFonts w:ascii="黑体" w:hAnsi="黑体" w:eastAsia="黑体" w:cs="Times New Roman"/>
          <w:bCs/>
          <w:sz w:val="28"/>
          <w:szCs w:val="28"/>
        </w:rPr>
        <w:t>项目单位：</w:t>
      </w:r>
      <w:r>
        <w:rPr>
          <w:rFonts w:hint="eastAsia" w:ascii="黑体" w:hAnsi="黑体" w:eastAsia="黑体" w:cs="Times New Roman"/>
          <w:bCs/>
          <w:sz w:val="28"/>
          <w:szCs w:val="28"/>
        </w:rPr>
        <w:t>甘肃省人民代表大会常务委员会办公厅</w:t>
      </w:r>
    </w:p>
    <w:p>
      <w:pPr>
        <w:spacing w:before="120" w:line="660" w:lineRule="exact"/>
        <w:ind w:firstLine="1680" w:firstLineChars="600"/>
        <w:rPr>
          <w:rFonts w:ascii="黑体" w:hAnsi="黑体" w:eastAsia="黑体" w:cs="Times New Roman"/>
          <w:bCs/>
          <w:sz w:val="28"/>
          <w:szCs w:val="28"/>
        </w:rPr>
      </w:pPr>
      <w:r>
        <w:rPr>
          <w:rFonts w:ascii="黑体" w:hAnsi="黑体" w:eastAsia="黑体" w:cs="Times New Roman"/>
          <w:bCs/>
          <w:sz w:val="28"/>
          <w:szCs w:val="28"/>
        </w:rPr>
        <w:t>委托单位：</w:t>
      </w:r>
      <w:r>
        <w:rPr>
          <w:rFonts w:hint="eastAsia" w:ascii="黑体" w:hAnsi="黑体" w:eastAsia="黑体" w:cs="Times New Roman"/>
          <w:bCs/>
          <w:sz w:val="28"/>
          <w:szCs w:val="28"/>
        </w:rPr>
        <w:t>甘肃省人民代表大会常务委员会办公厅</w:t>
      </w:r>
    </w:p>
    <w:p>
      <w:pPr>
        <w:spacing w:before="120" w:line="660" w:lineRule="exact"/>
        <w:ind w:firstLine="1680" w:firstLineChars="600"/>
        <w:jc w:val="left"/>
        <w:rPr>
          <w:rFonts w:hint="eastAsia" w:ascii="黑体" w:hAnsi="黑体" w:eastAsia="黑体" w:cs="Times New Roman"/>
          <w:bCs/>
          <w:sz w:val="28"/>
          <w:szCs w:val="28"/>
          <w:lang w:eastAsia="zh-CN"/>
        </w:rPr>
      </w:pPr>
      <w:r>
        <w:rPr>
          <w:rFonts w:ascii="黑体" w:hAnsi="黑体" w:eastAsia="黑体" w:cs="Times New Roman"/>
          <w:bCs/>
          <w:sz w:val="28"/>
          <w:szCs w:val="28"/>
        </w:rPr>
        <w:t>评价机构：</w:t>
      </w:r>
      <w:r>
        <w:rPr>
          <w:rFonts w:hint="eastAsia" w:ascii="黑体" w:hAnsi="黑体" w:eastAsia="黑体" w:cs="Times New Roman"/>
          <w:bCs/>
          <w:sz w:val="28"/>
          <w:szCs w:val="28"/>
          <w:lang w:eastAsia="zh-CN"/>
        </w:rPr>
        <w:t>甘肃祥盛泰财务咨询有限公司</w:t>
      </w:r>
    </w:p>
    <w:p>
      <w:pPr>
        <w:spacing w:before="120" w:line="660" w:lineRule="exact"/>
        <w:rPr>
          <w:rFonts w:ascii="黑体" w:hAnsi="黑体" w:eastAsia="黑体" w:cs="Times New Roman"/>
          <w:b/>
          <w:sz w:val="28"/>
          <w:szCs w:val="28"/>
        </w:rPr>
      </w:pPr>
    </w:p>
    <w:p>
      <w:pPr>
        <w:spacing w:before="120" w:line="660" w:lineRule="exact"/>
        <w:rPr>
          <w:rFonts w:ascii="黑体" w:hAnsi="黑体" w:eastAsia="黑体" w:cs="Times New Roman"/>
          <w:b/>
          <w:sz w:val="28"/>
          <w:szCs w:val="28"/>
        </w:rPr>
      </w:pPr>
    </w:p>
    <w:p>
      <w:pPr>
        <w:spacing w:before="120" w:line="660" w:lineRule="exact"/>
        <w:rPr>
          <w:rFonts w:hint="eastAsia" w:ascii="黑体" w:hAnsi="黑体" w:eastAsia="黑体" w:cs="Times New Roman"/>
          <w:b/>
          <w:sz w:val="28"/>
          <w:szCs w:val="28"/>
        </w:rPr>
      </w:pPr>
    </w:p>
    <w:p>
      <w:pPr>
        <w:spacing w:line="660" w:lineRule="exact"/>
        <w:jc w:val="center"/>
        <w:rPr>
          <w:rFonts w:ascii="黑体" w:hAnsi="黑体" w:eastAsia="黑体" w:cs="Times New Roman"/>
          <w:b/>
          <w:sz w:val="28"/>
          <w:szCs w:val="28"/>
        </w:rPr>
      </w:pPr>
      <w:r>
        <w:rPr>
          <w:rFonts w:hint="eastAsia" w:ascii="黑体" w:hAnsi="黑体" w:eastAsia="黑体" w:cs="Times New Roman"/>
          <w:b/>
          <w:sz w:val="28"/>
          <w:szCs w:val="28"/>
        </w:rPr>
        <w:t>202</w:t>
      </w:r>
      <w:r>
        <w:rPr>
          <w:rFonts w:hint="eastAsia" w:ascii="黑体" w:hAnsi="黑体" w:eastAsia="黑体" w:cs="Times New Roman"/>
          <w:b/>
          <w:sz w:val="28"/>
          <w:szCs w:val="28"/>
          <w:lang w:val="en-US" w:eastAsia="zh-CN"/>
        </w:rPr>
        <w:t>2</w:t>
      </w:r>
      <w:r>
        <w:rPr>
          <w:rFonts w:ascii="黑体" w:hAnsi="黑体" w:eastAsia="黑体" w:cs="Times New Roman"/>
          <w:b/>
          <w:sz w:val="28"/>
          <w:szCs w:val="28"/>
        </w:rPr>
        <w:t>年</w:t>
      </w:r>
      <w:r>
        <w:rPr>
          <w:rFonts w:hint="eastAsia" w:ascii="黑体" w:hAnsi="黑体" w:eastAsia="黑体" w:cs="Times New Roman"/>
          <w:b/>
          <w:sz w:val="28"/>
          <w:szCs w:val="28"/>
        </w:rPr>
        <w:t>6</w:t>
      </w:r>
      <w:r>
        <w:rPr>
          <w:rFonts w:ascii="黑体" w:hAnsi="黑体" w:eastAsia="黑体" w:cs="Times New Roman"/>
          <w:b/>
          <w:sz w:val="28"/>
          <w:szCs w:val="28"/>
        </w:rPr>
        <w:t>月</w:t>
      </w:r>
    </w:p>
    <w:p>
      <w:pPr>
        <w:rPr>
          <w:rFonts w:ascii="Times New Roman" w:hAnsi="Times New Roman" w:eastAsia="黑体" w:cs="Times New Roman"/>
          <w:b/>
          <w:sz w:val="28"/>
          <w:szCs w:val="28"/>
        </w:rPr>
      </w:pPr>
    </w:p>
    <w:p>
      <w:pPr>
        <w:rPr>
          <w:rFonts w:ascii="Times New Roman" w:hAnsi="Times New Roman" w:eastAsia="黑体" w:cs="Times New Roman"/>
          <w:b/>
          <w:sz w:val="28"/>
          <w:szCs w:val="28"/>
        </w:rPr>
        <w:sectPr>
          <w:pgSz w:w="11906" w:h="16838"/>
          <w:pgMar w:top="1701" w:right="1701" w:bottom="1701" w:left="1814" w:header="851" w:footer="992" w:gutter="0"/>
          <w:cols w:space="425" w:num="1"/>
          <w:docGrid w:type="lines" w:linePitch="312" w:charSpace="0"/>
        </w:sectPr>
      </w:pPr>
    </w:p>
    <w:sdt>
      <w:sdtPr>
        <w:rPr>
          <w:rFonts w:ascii="宋体" w:hAnsi="宋体" w:eastAsia="宋体" w:cstheme="minorBidi"/>
          <w:kern w:val="2"/>
          <w:sz w:val="21"/>
          <w:szCs w:val="22"/>
          <w:lang w:val="en-US" w:eastAsia="zh-CN" w:bidi="ar-SA"/>
        </w:rPr>
        <w:id w:val="147451153"/>
        <w15:color w:val="DBDBDB"/>
      </w:sdtPr>
      <w:sdtEndPr>
        <w:rPr>
          <w:rFonts w:hint="eastAsia" w:ascii="仿宋_GB2312" w:hAnsi="仿宋_GB2312" w:eastAsia="仿宋_GB2312" w:cs="仿宋_GB2312"/>
          <w:b/>
          <w:kern w:val="2"/>
          <w:sz w:val="30"/>
          <w:szCs w:val="30"/>
          <w:lang w:val="en-US" w:eastAsia="zh-CN" w:bidi="ar-SA"/>
        </w:rPr>
      </w:sdtEndPr>
      <w:sdtContent>
        <w:p>
          <w:pPr>
            <w:spacing w:before="0" w:beforeLines="0" w:after="0" w:afterLines="0" w:line="240" w:lineRule="auto"/>
            <w:ind w:left="0" w:leftChars="0" w:right="0" w:rightChars="0" w:firstLine="0" w:firstLineChars="0"/>
            <w:jc w:val="center"/>
            <w:rPr>
              <w:b/>
              <w:bCs/>
              <w:sz w:val="40"/>
              <w:szCs w:val="44"/>
            </w:rPr>
          </w:pPr>
          <w:r>
            <w:rPr>
              <w:rFonts w:hint="eastAsia"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录</w:t>
          </w:r>
        </w:p>
        <w:p>
          <w:pPr>
            <w:pStyle w:val="10"/>
            <w:tabs>
              <w:tab w:val="right" w:leader="dot" w:pos="8391"/>
            </w:tabs>
            <w:rPr>
              <w:rFonts w:hint="eastAsia" w:ascii="仿宋" w:hAnsi="仿宋" w:eastAsia="仿宋" w:cs="仿宋"/>
              <w:b/>
              <w:bCs/>
              <w:sz w:val="28"/>
              <w:szCs w:val="28"/>
            </w:rPr>
          </w:pP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TOC \o "1-2" \h \u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_Toc22933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sz w:val="28"/>
              <w:szCs w:val="28"/>
              <w:lang w:val="en-US"/>
            </w:rPr>
            <w:t xml:space="preserve">一、 </w:t>
          </w:r>
          <w:r>
            <w:rPr>
              <w:rFonts w:hint="eastAsia" w:ascii="仿宋" w:hAnsi="仿宋" w:eastAsia="仿宋" w:cs="仿宋"/>
              <w:b/>
              <w:bCs/>
              <w:sz w:val="28"/>
              <w:szCs w:val="28"/>
            </w:rPr>
            <w:t>项目基本情况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_Toc22933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_Toc23201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（一） </w:t>
          </w:r>
          <w:r>
            <w:rPr>
              <w:rFonts w:hint="eastAsia" w:ascii="仿宋" w:hAnsi="仿宋" w:eastAsia="仿宋" w:cs="仿宋"/>
              <w:sz w:val="28"/>
              <w:szCs w:val="28"/>
            </w:rPr>
            <w:t>项目立项背景及实施目的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_Toc23201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_Toc16663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（二） </w:t>
          </w:r>
          <w:r>
            <w:rPr>
              <w:rFonts w:hint="eastAsia" w:ascii="仿宋" w:hAnsi="仿宋" w:eastAsia="仿宋" w:cs="仿宋"/>
              <w:sz w:val="28"/>
              <w:szCs w:val="28"/>
            </w:rPr>
            <w:t>项目预算安排和支出情况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_Toc16663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_Toc23255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（三） </w:t>
          </w:r>
          <w:r>
            <w:rPr>
              <w:rFonts w:hint="eastAsia" w:ascii="仿宋" w:hAnsi="仿宋" w:eastAsia="仿宋" w:cs="仿宋"/>
              <w:sz w:val="28"/>
              <w:szCs w:val="28"/>
            </w:rPr>
            <w:t>项目主要内容和实施情况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_Toc23255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_Toc18528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sz w:val="28"/>
              <w:szCs w:val="28"/>
              <w:lang w:val="en-US"/>
            </w:rPr>
            <w:t xml:space="preserve">二、 </w:t>
          </w:r>
          <w:r>
            <w:rPr>
              <w:rFonts w:hint="eastAsia" w:ascii="仿宋" w:hAnsi="仿宋" w:eastAsia="仿宋" w:cs="仿宋"/>
              <w:b/>
              <w:bCs/>
              <w:sz w:val="28"/>
              <w:szCs w:val="28"/>
            </w:rPr>
            <w:t>项目绩效目标</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_Toc18528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_Toc10461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（一） </w:t>
          </w:r>
          <w:r>
            <w:rPr>
              <w:rFonts w:hint="eastAsia" w:ascii="仿宋" w:hAnsi="仿宋" w:eastAsia="仿宋" w:cs="仿宋"/>
              <w:sz w:val="28"/>
              <w:szCs w:val="28"/>
            </w:rPr>
            <w:t>总体绩效目标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_Toc10461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_Toc16329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（二） </w:t>
          </w:r>
          <w:r>
            <w:rPr>
              <w:rFonts w:hint="eastAsia" w:ascii="仿宋" w:hAnsi="仿宋" w:eastAsia="仿宋" w:cs="仿宋"/>
              <w:sz w:val="28"/>
              <w:szCs w:val="28"/>
              <w:lang w:eastAsia="zh-CN"/>
            </w:rPr>
            <w:t>2021</w:t>
          </w:r>
          <w:r>
            <w:rPr>
              <w:rFonts w:hint="eastAsia" w:ascii="仿宋" w:hAnsi="仿宋" w:eastAsia="仿宋" w:cs="仿宋"/>
              <w:sz w:val="28"/>
              <w:szCs w:val="28"/>
            </w:rPr>
            <w:t>年度（或阶段性）绩效目标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_Toc16329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_Toc30408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sz w:val="28"/>
              <w:szCs w:val="28"/>
              <w:lang w:val="en-US"/>
            </w:rPr>
            <w:t xml:space="preserve">三、 </w:t>
          </w:r>
          <w:r>
            <w:rPr>
              <w:rFonts w:hint="eastAsia" w:ascii="仿宋" w:hAnsi="仿宋" w:eastAsia="仿宋" w:cs="仿宋"/>
              <w:b/>
              <w:bCs/>
              <w:sz w:val="28"/>
              <w:szCs w:val="28"/>
            </w:rPr>
            <w:t>评价基本情况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_Toc30408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_Toc12213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（一） </w:t>
          </w:r>
          <w:r>
            <w:rPr>
              <w:rFonts w:hint="eastAsia" w:ascii="仿宋" w:hAnsi="仿宋" w:eastAsia="仿宋" w:cs="仿宋"/>
              <w:sz w:val="28"/>
              <w:szCs w:val="28"/>
            </w:rPr>
            <w:t>绩效评价原则和依据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_Toc12213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_Toc14243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（二） </w:t>
          </w:r>
          <w:r>
            <w:rPr>
              <w:rFonts w:hint="eastAsia" w:ascii="仿宋" w:hAnsi="仿宋" w:eastAsia="仿宋" w:cs="仿宋"/>
              <w:sz w:val="28"/>
              <w:szCs w:val="28"/>
            </w:rPr>
            <w:t>评价指标体系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_Toc14243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_Toc25188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（三） </w:t>
          </w:r>
          <w:r>
            <w:rPr>
              <w:rFonts w:hint="eastAsia" w:ascii="仿宋" w:hAnsi="仿宋" w:eastAsia="仿宋" w:cs="仿宋"/>
              <w:sz w:val="28"/>
              <w:szCs w:val="28"/>
            </w:rPr>
            <w:t>评价方法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_Toc25188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_Toc19057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（四） </w:t>
          </w:r>
          <w:r>
            <w:rPr>
              <w:rFonts w:hint="eastAsia" w:ascii="仿宋" w:hAnsi="仿宋" w:eastAsia="仿宋" w:cs="仿宋"/>
              <w:sz w:val="28"/>
              <w:szCs w:val="28"/>
            </w:rPr>
            <w:t>评价标准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_Toc19057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_Toc2446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（五） </w:t>
          </w:r>
          <w:r>
            <w:rPr>
              <w:rFonts w:hint="eastAsia" w:ascii="仿宋" w:hAnsi="仿宋" w:eastAsia="仿宋" w:cs="仿宋"/>
              <w:sz w:val="28"/>
              <w:szCs w:val="28"/>
            </w:rPr>
            <w:t>绩效评价工作过程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_Toc2446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_Toc5592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sz w:val="28"/>
              <w:szCs w:val="28"/>
              <w:lang w:val="en-US" w:eastAsia="zh-CN"/>
            </w:rPr>
            <w:t>（六）评价重点难点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_Toc5592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_Toc17863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sz w:val="28"/>
              <w:szCs w:val="28"/>
              <w:lang w:val="en-US"/>
            </w:rPr>
            <w:t xml:space="preserve">四、 </w:t>
          </w:r>
          <w:r>
            <w:rPr>
              <w:rFonts w:hint="eastAsia" w:ascii="仿宋" w:hAnsi="仿宋" w:eastAsia="仿宋" w:cs="仿宋"/>
              <w:b/>
              <w:bCs/>
              <w:sz w:val="28"/>
              <w:szCs w:val="28"/>
            </w:rPr>
            <w:t>综合评价情况及评价结论</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_Toc17863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15</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_Toc25218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（一） </w:t>
          </w:r>
          <w:r>
            <w:rPr>
              <w:rFonts w:hint="eastAsia" w:ascii="仿宋" w:hAnsi="仿宋" w:eastAsia="仿宋" w:cs="仿宋"/>
              <w:sz w:val="28"/>
              <w:szCs w:val="28"/>
            </w:rPr>
            <w:t>综合评价情况及评价结论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_Toc25218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_Toc17903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（二） </w:t>
          </w:r>
          <w:r>
            <w:rPr>
              <w:rFonts w:hint="eastAsia" w:ascii="仿宋" w:hAnsi="仿宋" w:eastAsia="仿宋" w:cs="仿宋"/>
              <w:sz w:val="28"/>
              <w:szCs w:val="28"/>
            </w:rPr>
            <w:t>非现场评价情况分析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_Toc17903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_Toc28989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（三） </w:t>
          </w:r>
          <w:r>
            <w:rPr>
              <w:rFonts w:hint="eastAsia" w:ascii="仿宋" w:hAnsi="仿宋" w:eastAsia="仿宋" w:cs="仿宋"/>
              <w:sz w:val="28"/>
              <w:szCs w:val="28"/>
            </w:rPr>
            <w:t>现场评价情况分析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_Toc28989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_Toc10050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sz w:val="28"/>
              <w:szCs w:val="28"/>
              <w:lang w:val="en-US"/>
            </w:rPr>
            <w:t xml:space="preserve">五、 </w:t>
          </w:r>
          <w:r>
            <w:rPr>
              <w:rFonts w:hint="eastAsia" w:ascii="仿宋" w:hAnsi="仿宋" w:eastAsia="仿宋" w:cs="仿宋"/>
              <w:b/>
              <w:bCs/>
              <w:sz w:val="28"/>
              <w:szCs w:val="28"/>
            </w:rPr>
            <w:t>绩效评价指标分析</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_Toc10050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16</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_Toc29532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（一） </w:t>
          </w:r>
          <w:r>
            <w:rPr>
              <w:rFonts w:hint="eastAsia" w:ascii="仿宋" w:hAnsi="仿宋" w:eastAsia="仿宋" w:cs="仿宋"/>
              <w:sz w:val="28"/>
              <w:szCs w:val="28"/>
            </w:rPr>
            <w:t>项目决策情况分析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_Toc29532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_Toc17087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（二） </w:t>
          </w:r>
          <w:r>
            <w:rPr>
              <w:rFonts w:hint="eastAsia" w:ascii="仿宋" w:hAnsi="仿宋" w:eastAsia="仿宋" w:cs="仿宋"/>
              <w:sz w:val="28"/>
              <w:szCs w:val="28"/>
            </w:rPr>
            <w:t>项目过程情况分析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_Toc17087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_Toc32495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lang w:eastAsia="zh-CN"/>
            </w:rPr>
            <w:t xml:space="preserve">（三） </w:t>
          </w:r>
          <w:r>
            <w:rPr>
              <w:rFonts w:hint="eastAsia" w:ascii="仿宋" w:hAnsi="仿宋" w:eastAsia="仿宋" w:cs="仿宋"/>
              <w:sz w:val="28"/>
              <w:szCs w:val="28"/>
            </w:rPr>
            <w:t>项目产出情况分析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_Toc32495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_Toc15109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（四） </w:t>
          </w:r>
          <w:r>
            <w:rPr>
              <w:rFonts w:hint="eastAsia" w:ascii="仿宋" w:hAnsi="仿宋" w:eastAsia="仿宋" w:cs="仿宋"/>
              <w:sz w:val="28"/>
              <w:szCs w:val="28"/>
            </w:rPr>
            <w:t>项目效益情况分析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_Toc15109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_Toc9662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sz w:val="28"/>
              <w:szCs w:val="28"/>
              <w:lang w:val="en-US"/>
            </w:rPr>
            <w:t xml:space="preserve">六、 </w:t>
          </w:r>
          <w:r>
            <w:rPr>
              <w:rFonts w:hint="eastAsia" w:ascii="仿宋" w:hAnsi="仿宋" w:eastAsia="仿宋" w:cs="仿宋"/>
              <w:b/>
              <w:bCs/>
              <w:sz w:val="28"/>
              <w:szCs w:val="28"/>
            </w:rPr>
            <w:t>主要经验及做法</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_Toc9662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18</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_Toc30166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sz w:val="28"/>
              <w:szCs w:val="28"/>
              <w:lang w:val="en-US" w:eastAsia="zh-CN"/>
            </w:rPr>
            <w:t>（一）预算执行率及任务目标实现度高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_Toc30166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_Toc19764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rPr>
            <w:t>资金管理程序规范，资金到位及时。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_Toc19764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_Toc18136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sz w:val="28"/>
              <w:szCs w:val="28"/>
              <w:lang w:val="en-US"/>
            </w:rPr>
            <w:t xml:space="preserve">七、 </w:t>
          </w:r>
          <w:r>
            <w:rPr>
              <w:rFonts w:hint="eastAsia" w:ascii="仿宋" w:hAnsi="仿宋" w:eastAsia="仿宋" w:cs="仿宋"/>
              <w:b/>
              <w:bCs/>
              <w:sz w:val="28"/>
              <w:szCs w:val="28"/>
            </w:rPr>
            <w:t>存在的问题及原因分析</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_Toc18136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19</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0"/>
            <w:tabs>
              <w:tab w:val="right" w:leader="dot" w:pos="8391"/>
            </w:tabs>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_Toc32087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sz w:val="28"/>
              <w:szCs w:val="28"/>
              <w:lang w:val="en-US"/>
            </w:rPr>
            <w:t xml:space="preserve">八、 </w:t>
          </w:r>
          <w:r>
            <w:rPr>
              <w:rFonts w:hint="eastAsia" w:ascii="仿宋" w:hAnsi="仿宋" w:eastAsia="仿宋" w:cs="仿宋"/>
              <w:b/>
              <w:bCs/>
              <w:sz w:val="28"/>
              <w:szCs w:val="28"/>
            </w:rPr>
            <w:t>下一步改进建议</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_Toc32087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19</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0"/>
            <w:tabs>
              <w:tab w:val="right" w:leader="dot" w:pos="8391"/>
            </w:tabs>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_Toc21773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sz w:val="28"/>
              <w:szCs w:val="28"/>
              <w:lang w:val="en-US"/>
            </w:rPr>
            <w:t xml:space="preserve">九、 </w:t>
          </w:r>
          <w:r>
            <w:rPr>
              <w:rFonts w:hint="eastAsia" w:ascii="仿宋" w:hAnsi="仿宋" w:eastAsia="仿宋" w:cs="仿宋"/>
              <w:b/>
              <w:bCs/>
              <w:sz w:val="28"/>
              <w:szCs w:val="28"/>
            </w:rPr>
            <w:t>其他需要说明的问题</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_Toc21773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20</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1"/>
            <w:tabs>
              <w:tab w:val="right" w:leader="dot" w:pos="8391"/>
            </w:tabs>
            <w:ind w:left="0" w:leftChars="0" w:firstLine="280" w:firstLineChars="100"/>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_Toc3680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附件1 综合评分表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_Toc3680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ind w:firstLine="280" w:firstLineChars="100"/>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_Toc2624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附件2 满意度报告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_Toc2624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ind w:firstLine="280" w:firstLineChars="100"/>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_Toc19846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sz w:val="28"/>
              <w:szCs w:val="28"/>
              <w:lang w:val="en-US" w:eastAsia="zh-CN"/>
            </w:rPr>
            <w:t>附件3 访谈及调研工作制度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_Toc19846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ind w:firstLine="280" w:firstLineChars="100"/>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_Toc5043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sz w:val="28"/>
              <w:szCs w:val="28"/>
              <w:lang w:val="en-US" w:eastAsia="zh-CN"/>
            </w:rPr>
            <w:t>附件4 质量保障措施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_Toc5043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bidi w:val="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Cs w:val="30"/>
              <w:lang w:val="en-US" w:eastAsia="zh-CN" w:bidi="ar-SA"/>
            </w:rPr>
            <w:fldChar w:fldCharType="end"/>
          </w:r>
        </w:p>
      </w:sdtContent>
    </w:sdt>
    <w:p>
      <w:pPr>
        <w:bidi w:val="0"/>
        <w:rPr>
          <w:rFonts w:hint="eastAsia" w:ascii="仿宋_GB2312" w:hAnsi="仿宋_GB2312" w:eastAsia="仿宋_GB2312" w:cs="仿宋_GB2312"/>
          <w:sz w:val="30"/>
          <w:szCs w:val="30"/>
          <w:lang w:val="en-US" w:eastAsia="zh-CN"/>
        </w:rPr>
      </w:pPr>
    </w:p>
    <w:p>
      <w:pPr>
        <w:bidi w:val="0"/>
        <w:rPr>
          <w:rFonts w:hint="eastAsia" w:ascii="仿宋_GB2312" w:hAnsi="仿宋_GB2312" w:eastAsia="仿宋_GB2312" w:cs="仿宋_GB2312"/>
          <w:sz w:val="30"/>
          <w:szCs w:val="30"/>
          <w:lang w:val="en-US" w:eastAsia="zh-CN"/>
        </w:rPr>
      </w:pPr>
    </w:p>
    <w:p>
      <w:pPr>
        <w:bidi w:val="0"/>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lang w:val="en-US" w:eastAsia="zh-CN"/>
        </w:rPr>
      </w:pPr>
    </w:p>
    <w:p>
      <w:pPr>
        <w:pStyle w:val="2"/>
        <w:rPr>
          <w:rFonts w:hint="eastAsia"/>
          <w:lang w:val="en-US" w:eastAsia="zh-CN"/>
        </w:rPr>
      </w:pPr>
    </w:p>
    <w:p>
      <w:pPr>
        <w:bidi w:val="0"/>
        <w:rPr>
          <w:rFonts w:hint="eastAsia" w:ascii="仿宋_GB2312" w:hAnsi="仿宋_GB2312" w:eastAsia="仿宋_GB2312" w:cs="仿宋_GB2312"/>
          <w:sz w:val="32"/>
          <w:szCs w:val="32"/>
          <w:lang w:val="en-US" w:eastAsia="zh-CN"/>
        </w:rPr>
      </w:pPr>
    </w:p>
    <w:p>
      <w:pPr>
        <w:pStyle w:val="22"/>
        <w:outlineLvl w:val="9"/>
        <w:rPr>
          <w:rFonts w:hint="eastAsia"/>
          <w:lang w:val="en-US" w:eastAsia="zh-CN"/>
        </w:rPr>
        <w:sectPr>
          <w:footerReference r:id="rId3" w:type="default"/>
          <w:pgSz w:w="11906" w:h="16838"/>
          <w:pgMar w:top="1701" w:right="1701" w:bottom="1701" w:left="1814" w:header="851" w:footer="992" w:gutter="0"/>
          <w:pgNumType w:fmt="decimal" w:start="1"/>
          <w:cols w:space="425" w:num="1"/>
          <w:docGrid w:type="lines" w:linePitch="312" w:charSpace="0"/>
        </w:sectPr>
      </w:pPr>
    </w:p>
    <w:p>
      <w:pPr>
        <w:pStyle w:val="22"/>
        <w:outlineLvl w:val="9"/>
        <w:rPr>
          <w:rFonts w:hint="eastAsia"/>
        </w:rPr>
      </w:pPr>
      <w:r>
        <w:rPr>
          <w:rFonts w:hint="eastAsia"/>
          <w:lang w:val="en-US" w:eastAsia="zh-CN"/>
        </w:rPr>
        <w:t>2021年度甘肃省人民代表大会常务委员会办公厅业务费项目</w:t>
      </w:r>
      <w:r>
        <w:rPr>
          <w:rFonts w:hint="eastAsia"/>
        </w:rPr>
        <w:t>支出绩效评价报告</w:t>
      </w:r>
    </w:p>
    <w:p>
      <w:pPr>
        <w:pStyle w:val="23"/>
      </w:pPr>
      <w:r>
        <w:rPr>
          <w:rFonts w:hint="eastAsia"/>
        </w:rPr>
        <w:t>按照《甘肃省财政厅关于开展202</w:t>
      </w:r>
      <w:r>
        <w:rPr>
          <w:rFonts w:hint="eastAsia"/>
          <w:lang w:val="en-US" w:eastAsia="zh-CN"/>
        </w:rPr>
        <w:t>1</w:t>
      </w:r>
      <w:r>
        <w:rPr>
          <w:rFonts w:hint="eastAsia"/>
        </w:rPr>
        <w:t>年度省级预算执行情况绩效部门评价和财政评价工作的通知》（甘财绩〔202</w:t>
      </w:r>
      <w:r>
        <w:rPr>
          <w:rFonts w:hint="eastAsia"/>
          <w:lang w:val="en-US" w:eastAsia="zh-CN"/>
        </w:rPr>
        <w:t>2</w:t>
      </w:r>
      <w:r>
        <w:rPr>
          <w:rFonts w:hint="eastAsia"/>
        </w:rPr>
        <w:t>〕4号）要求</w:t>
      </w:r>
      <w:r>
        <w:rPr>
          <w:rFonts w:hint="eastAsia"/>
          <w:color w:val="auto"/>
        </w:rPr>
        <w:t>，现将202</w:t>
      </w:r>
      <w:r>
        <w:rPr>
          <w:rFonts w:hint="eastAsia"/>
          <w:color w:val="auto"/>
          <w:lang w:val="en-US" w:eastAsia="zh-CN"/>
        </w:rPr>
        <w:t>1</w:t>
      </w:r>
      <w:r>
        <w:rPr>
          <w:rFonts w:hint="eastAsia"/>
          <w:color w:val="auto"/>
        </w:rPr>
        <w:t>年度</w:t>
      </w:r>
      <w:r>
        <w:rPr>
          <w:rFonts w:hint="eastAsia"/>
          <w:color w:val="auto"/>
          <w:lang w:val="en-US" w:eastAsia="zh-CN"/>
        </w:rPr>
        <w:t>甘肃省人民代表大会常务委员会办公厅业务费</w:t>
      </w:r>
      <w:r>
        <w:rPr>
          <w:rFonts w:hint="eastAsia"/>
          <w:color w:val="auto"/>
        </w:rPr>
        <w:t>项目绩</w:t>
      </w:r>
      <w:r>
        <w:rPr>
          <w:rFonts w:hint="eastAsia"/>
        </w:rPr>
        <w:t>效报告如下：</w:t>
      </w:r>
    </w:p>
    <w:p>
      <w:pPr>
        <w:pStyle w:val="24"/>
        <w:outlineLvl w:val="0"/>
      </w:pPr>
      <w:bookmarkStart w:id="0" w:name="_Toc76132236"/>
      <w:bookmarkStart w:id="1" w:name="_Toc77065980"/>
      <w:bookmarkStart w:id="2" w:name="_Toc76133022"/>
      <w:bookmarkStart w:id="3" w:name="_Toc22933"/>
      <w:r>
        <w:rPr>
          <w:rFonts w:hint="eastAsia"/>
        </w:rPr>
        <w:t>项目基本情况</w:t>
      </w:r>
      <w:bookmarkEnd w:id="0"/>
      <w:bookmarkEnd w:id="1"/>
      <w:bookmarkEnd w:id="2"/>
      <w:bookmarkEnd w:id="3"/>
    </w:p>
    <w:p>
      <w:pPr>
        <w:pStyle w:val="25"/>
        <w:outlineLvl w:val="1"/>
      </w:pPr>
      <w:bookmarkStart w:id="4" w:name="_Toc77065981"/>
      <w:bookmarkStart w:id="5" w:name="_Toc76133023"/>
      <w:bookmarkStart w:id="6" w:name="_Toc23201"/>
      <w:bookmarkStart w:id="7" w:name="_Toc76132237"/>
      <w:r>
        <w:rPr>
          <w:rFonts w:hint="eastAsia"/>
        </w:rPr>
        <w:t>项目立项背景及实施目的</w:t>
      </w:r>
      <w:bookmarkEnd w:id="4"/>
      <w:bookmarkEnd w:id="5"/>
      <w:bookmarkEnd w:id="6"/>
      <w:bookmarkEnd w:id="7"/>
    </w:p>
    <w:p>
      <w:pPr>
        <w:pStyle w:val="23"/>
        <w:rPr>
          <w:rFonts w:hint="default" w:eastAsia="仿宋_GB2312"/>
          <w:color w:val="auto"/>
          <w:lang w:val="en-US" w:eastAsia="zh-CN"/>
        </w:rPr>
      </w:pPr>
      <w:r>
        <w:rPr>
          <w:rFonts w:hint="eastAsia"/>
          <w:color w:val="auto"/>
          <w:lang w:val="en-US" w:eastAsia="zh-CN"/>
        </w:rPr>
        <w:t>业务费是指行政事业单位为完成担负的专业任务所需的消耗性费用和购置低值易耗品的费用。包括为进行防治防疫用的消耗性医药卫生材料费；为进行科学实验购置的工具器具等低值易耗品、化学试剂、材料以及专业资料印刷、科学考察研究费用；各级各类学校的教学实验费、生产实习费、资料讲义费、招生经费、毕业生调遣费、教材编审费、业务资料印刷费等；外事部门及其他行政事业单位的临时出国人员制装费、差旅费、国外生活费补贴和外宾差旅费、招待费；财政、税务、统计、财务部门的大宗帐簿、表册、票证、规章制度、资料、材料的印刷费等。业务费是为了保障日常工作的正常开展。</w:t>
      </w:r>
    </w:p>
    <w:p>
      <w:pPr>
        <w:pStyle w:val="25"/>
        <w:outlineLvl w:val="1"/>
      </w:pPr>
      <w:bookmarkStart w:id="8" w:name="_Toc77065982"/>
      <w:bookmarkStart w:id="9" w:name="_Toc76133024"/>
      <w:bookmarkStart w:id="10" w:name="_Toc16663"/>
      <w:bookmarkStart w:id="11" w:name="_Toc76132238"/>
      <w:r>
        <w:rPr>
          <w:rFonts w:hint="eastAsia"/>
        </w:rPr>
        <w:t>项目预算安排和支出情况</w:t>
      </w:r>
      <w:bookmarkEnd w:id="8"/>
      <w:bookmarkEnd w:id="9"/>
      <w:bookmarkEnd w:id="10"/>
      <w:bookmarkEnd w:id="11"/>
    </w:p>
    <w:p>
      <w:pPr>
        <w:pStyle w:val="23"/>
        <w:ind w:firstLine="643"/>
      </w:pPr>
      <w:r>
        <w:rPr>
          <w:rFonts w:hint="eastAsia"/>
          <w:b/>
          <w:bCs/>
        </w:rPr>
        <w:t>1</w:t>
      </w:r>
      <w:r>
        <w:rPr>
          <w:rFonts w:hint="eastAsia"/>
          <w:b/>
          <w:bCs/>
          <w:lang w:eastAsia="zh-CN"/>
        </w:rPr>
        <w:t>.</w:t>
      </w:r>
      <w:r>
        <w:rPr>
          <w:rFonts w:hint="eastAsia"/>
          <w:b/>
          <w:bCs/>
        </w:rPr>
        <w:t>项目预算安排情况</w:t>
      </w:r>
    </w:p>
    <w:p>
      <w:pPr>
        <w:pStyle w:val="23"/>
        <w:keepNext w:val="0"/>
        <w:keepLines w:val="0"/>
        <w:pageBreakBefore w:val="0"/>
        <w:widowControl/>
        <w:kinsoku/>
        <w:wordWrap/>
        <w:overflowPunct/>
        <w:topLinePunct w:val="0"/>
        <w:autoSpaceDE/>
        <w:autoSpaceDN/>
        <w:bidi w:val="0"/>
        <w:adjustRightInd/>
        <w:snapToGrid/>
        <w:spacing w:line="660" w:lineRule="exact"/>
        <w:textAlignment w:val="auto"/>
        <w:rPr>
          <w:color w:val="auto"/>
        </w:rPr>
      </w:pPr>
      <w:r>
        <w:rPr>
          <w:rFonts w:hint="eastAsia"/>
          <w:lang w:eastAsia="zh-CN"/>
        </w:rPr>
        <w:t>2021</w:t>
      </w:r>
      <w:r>
        <w:rPr>
          <w:rFonts w:hint="eastAsia"/>
        </w:rPr>
        <w:t>年度</w:t>
      </w:r>
      <w:r>
        <w:rPr>
          <w:rFonts w:hint="eastAsia"/>
          <w:color w:val="auto"/>
          <w:lang w:val="en-US" w:eastAsia="zh-CN"/>
        </w:rPr>
        <w:t>甘肃省人民代表大会常务委员会办公厅业务费</w:t>
      </w:r>
      <w:r>
        <w:rPr>
          <w:rFonts w:hint="eastAsia"/>
          <w:color w:val="auto"/>
        </w:rPr>
        <w:t>项目资金安排共计</w:t>
      </w:r>
      <w:r>
        <w:rPr>
          <w:rFonts w:hint="eastAsia"/>
          <w:color w:val="auto"/>
          <w:lang w:val="en-US" w:eastAsia="zh-CN"/>
        </w:rPr>
        <w:t>680</w:t>
      </w:r>
      <w:r>
        <w:rPr>
          <w:rFonts w:hint="eastAsia"/>
          <w:color w:val="auto"/>
        </w:rPr>
        <w:t>万元</w:t>
      </w:r>
      <w:r>
        <w:rPr>
          <w:rFonts w:hint="eastAsia"/>
          <w:color w:val="auto"/>
          <w:lang w:eastAsia="zh-CN"/>
        </w:rPr>
        <w:t>，</w:t>
      </w:r>
      <w:r>
        <w:rPr>
          <w:rFonts w:hint="eastAsia"/>
          <w:color w:val="auto"/>
          <w:lang w:val="en-US" w:eastAsia="zh-CN"/>
        </w:rPr>
        <w:t>上年结转80万元</w:t>
      </w:r>
      <w:r>
        <w:rPr>
          <w:rFonts w:hint="eastAsia"/>
          <w:color w:val="auto"/>
        </w:rPr>
        <w:t>。</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36" w:beforeAutospacing="0" w:after="60" w:afterAutospacing="0" w:line="660" w:lineRule="exact"/>
        <w:ind w:firstLine="643" w:firstLineChars="200"/>
        <w:textAlignment w:val="auto"/>
        <w:rPr>
          <w:rFonts w:hint="eastAsia" w:ascii="仿宋_GB2312" w:hAnsi="Times New Roman" w:eastAsia="仿宋_GB2312"/>
          <w:b/>
          <w:bCs/>
          <w:kern w:val="2"/>
          <w:sz w:val="32"/>
          <w:szCs w:val="32"/>
        </w:rPr>
      </w:pPr>
      <w:r>
        <w:rPr>
          <w:rFonts w:hint="eastAsia" w:ascii="仿宋_GB2312" w:hAnsi="Times New Roman" w:eastAsia="仿宋_GB2312"/>
          <w:b/>
          <w:bCs/>
          <w:kern w:val="2"/>
          <w:sz w:val="32"/>
          <w:szCs w:val="32"/>
          <w:lang w:val="en-US" w:eastAsia="zh-CN"/>
        </w:rPr>
        <w:t>2.</w:t>
      </w:r>
      <w:r>
        <w:rPr>
          <w:rFonts w:hint="eastAsia" w:ascii="仿宋_GB2312" w:hAnsi="Times New Roman" w:eastAsia="仿宋_GB2312"/>
          <w:b/>
          <w:bCs/>
          <w:kern w:val="2"/>
          <w:sz w:val="32"/>
          <w:szCs w:val="32"/>
        </w:rPr>
        <w:t>项目支出情况</w:t>
      </w:r>
    </w:p>
    <w:p>
      <w:pPr>
        <w:pStyle w:val="23"/>
        <w:ind w:firstLine="640"/>
        <w:rPr>
          <w:rFonts w:hint="default" w:eastAsia="仿宋_GB2312"/>
          <w:color w:val="FF0000"/>
          <w:lang w:val="en-US" w:eastAsia="zh-CN"/>
        </w:rPr>
      </w:pPr>
      <w:r>
        <w:rPr>
          <w:rFonts w:hint="eastAsia"/>
          <w:color w:val="auto"/>
          <w:lang w:eastAsia="zh-CN"/>
        </w:rPr>
        <w:t>2021</w:t>
      </w:r>
      <w:r>
        <w:rPr>
          <w:rFonts w:hint="eastAsia"/>
          <w:color w:val="auto"/>
        </w:rPr>
        <w:t>年度，</w:t>
      </w:r>
      <w:r>
        <w:rPr>
          <w:rFonts w:hint="eastAsia"/>
          <w:color w:val="auto"/>
          <w:lang w:val="en-US" w:eastAsia="zh-CN"/>
        </w:rPr>
        <w:t>甘肃省人民代表大会常务委员会办公厅业务费</w:t>
      </w:r>
      <w:r>
        <w:rPr>
          <w:rFonts w:hint="eastAsia"/>
          <w:color w:val="auto"/>
        </w:rPr>
        <w:t>项目资金总额</w:t>
      </w:r>
      <w:r>
        <w:rPr>
          <w:rFonts w:hint="eastAsia"/>
          <w:color w:val="auto"/>
          <w:lang w:val="en-US" w:eastAsia="zh-CN"/>
        </w:rPr>
        <w:t>760</w:t>
      </w:r>
      <w:r>
        <w:rPr>
          <w:rFonts w:hint="eastAsia"/>
          <w:color w:val="auto"/>
        </w:rPr>
        <w:t>万元，截至</w:t>
      </w:r>
      <w:r>
        <w:rPr>
          <w:rFonts w:hint="eastAsia"/>
          <w:color w:val="auto"/>
          <w:lang w:eastAsia="zh-CN"/>
        </w:rPr>
        <w:t>2021</w:t>
      </w:r>
      <w:r>
        <w:rPr>
          <w:rFonts w:hint="eastAsia"/>
          <w:color w:val="auto"/>
        </w:rPr>
        <w:t>年年末，</w:t>
      </w:r>
      <w:r>
        <w:rPr>
          <w:rFonts w:hint="eastAsia"/>
          <w:color w:val="auto"/>
          <w:lang w:val="en-US" w:eastAsia="zh-CN"/>
        </w:rPr>
        <w:t>甘肃省人民代表大会常务委员会办公厅业务费项目</w:t>
      </w:r>
      <w:r>
        <w:rPr>
          <w:rFonts w:hint="eastAsia"/>
          <w:color w:val="auto"/>
        </w:rPr>
        <w:t>资金共支出</w:t>
      </w:r>
      <w:r>
        <w:rPr>
          <w:rFonts w:hint="eastAsia"/>
          <w:color w:val="auto"/>
          <w:lang w:val="en-US" w:eastAsia="zh-CN"/>
        </w:rPr>
        <w:t>760</w:t>
      </w:r>
      <w:r>
        <w:rPr>
          <w:rFonts w:hint="eastAsia"/>
          <w:color w:val="auto"/>
        </w:rPr>
        <w:t>万元</w:t>
      </w:r>
      <w:r>
        <w:rPr>
          <w:rFonts w:hint="eastAsia"/>
          <w:color w:val="auto"/>
          <w:lang w:val="en-US" w:eastAsia="zh-CN"/>
        </w:rPr>
        <w:t>,</w:t>
      </w:r>
      <w:r>
        <w:rPr>
          <w:rFonts w:hint="eastAsia"/>
          <w:color w:val="auto"/>
        </w:rPr>
        <w:t>执行率</w:t>
      </w:r>
      <w:r>
        <w:rPr>
          <w:rFonts w:hint="eastAsia"/>
          <w:color w:val="auto"/>
          <w:lang w:val="en-US" w:eastAsia="zh-CN"/>
        </w:rPr>
        <w:t>为100%</w:t>
      </w:r>
      <w:r>
        <w:rPr>
          <w:rFonts w:hint="eastAsia"/>
          <w:color w:val="auto"/>
        </w:rPr>
        <w:t>。</w:t>
      </w:r>
    </w:p>
    <w:p>
      <w:pPr>
        <w:pStyle w:val="25"/>
        <w:outlineLvl w:val="1"/>
      </w:pPr>
      <w:bookmarkStart w:id="12" w:name="_Toc77065983"/>
      <w:bookmarkStart w:id="13" w:name="_Toc76132239"/>
      <w:bookmarkStart w:id="14" w:name="_Toc23255"/>
      <w:bookmarkStart w:id="15" w:name="_Toc76133025"/>
      <w:r>
        <w:rPr>
          <w:rFonts w:hint="eastAsia"/>
        </w:rPr>
        <w:t>项目主要内容和实施情况</w:t>
      </w:r>
      <w:bookmarkEnd w:id="12"/>
      <w:bookmarkEnd w:id="13"/>
      <w:bookmarkEnd w:id="14"/>
      <w:bookmarkEnd w:id="15"/>
    </w:p>
    <w:p>
      <w:pPr>
        <w:pStyle w:val="5"/>
        <w:spacing w:line="660" w:lineRule="exact"/>
        <w:ind w:right="125" w:firstLine="643" w:firstLineChars="200"/>
        <w:rPr>
          <w:rFonts w:hint="eastAsia" w:ascii="Times New Roman" w:hAnsi="Times New Roman" w:eastAsia="仿宋_GB2312" w:cs="Times New Roman"/>
          <w:b/>
          <w:bCs/>
          <w:lang w:val="en-US" w:eastAsia="zh-CN"/>
        </w:rPr>
      </w:pPr>
      <w:r>
        <w:rPr>
          <w:rFonts w:hint="eastAsia" w:ascii="Times New Roman" w:hAnsi="Times New Roman" w:eastAsia="仿宋_GB2312" w:cs="Times New Roman"/>
          <w:b/>
          <w:bCs/>
        </w:rPr>
        <w:t>1</w:t>
      </w:r>
      <w:r>
        <w:rPr>
          <w:rFonts w:hint="eastAsia" w:ascii="Times New Roman" w:hAnsi="Times New Roman" w:eastAsia="仿宋_GB2312" w:cs="Times New Roman"/>
          <w:b/>
          <w:bCs/>
          <w:lang w:eastAsia="zh-CN"/>
        </w:rPr>
        <w:t>.</w:t>
      </w:r>
      <w:r>
        <w:rPr>
          <w:rFonts w:hint="eastAsia" w:ascii="Times New Roman" w:hAnsi="Times New Roman" w:eastAsia="仿宋_GB2312" w:cs="Times New Roman"/>
          <w:b/>
          <w:bCs/>
        </w:rPr>
        <w:t>项目</w:t>
      </w:r>
      <w:r>
        <w:rPr>
          <w:rFonts w:hint="eastAsia" w:ascii="Times New Roman" w:hAnsi="Times New Roman" w:eastAsia="仿宋_GB2312" w:cs="Times New Roman"/>
          <w:b/>
          <w:bCs/>
          <w:lang w:val="en-US" w:eastAsia="zh-CN"/>
        </w:rPr>
        <w:t>计划内容</w:t>
      </w:r>
    </w:p>
    <w:p>
      <w:pPr>
        <w:pStyle w:val="5"/>
        <w:spacing w:line="660" w:lineRule="exact"/>
        <w:ind w:right="125" w:firstLine="640" w:firstLineChars="200"/>
        <w:rPr>
          <w:rFonts w:hint="default"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业务费主要用于保障甘肃省人民代表大会常务委员会机关日常的工作运行；用于日常办公、水电、取暖、邮电、省内公务出行等支出；办公取暖、车辆运行等公务支出；机关会议系统、安防系统、中央空调、网络系统的更新、升级及维护支出，业务费全年资金为760万元，均按照年初计划完成。</w:t>
      </w:r>
    </w:p>
    <w:p>
      <w:pPr>
        <w:pStyle w:val="23"/>
        <w:ind w:firstLine="643"/>
        <w:rPr>
          <w:rFonts w:hint="eastAsia"/>
          <w:b/>
          <w:bCs/>
        </w:rPr>
      </w:pPr>
      <w:r>
        <w:rPr>
          <w:rFonts w:hint="eastAsia"/>
          <w:b/>
          <w:bCs/>
        </w:rPr>
        <w:t>2</w:t>
      </w:r>
      <w:r>
        <w:rPr>
          <w:rFonts w:hint="eastAsia"/>
          <w:b/>
          <w:bCs/>
          <w:lang w:eastAsia="zh-CN"/>
        </w:rPr>
        <w:t>.</w:t>
      </w:r>
      <w:r>
        <w:rPr>
          <w:rFonts w:hint="eastAsia"/>
          <w:b/>
          <w:bCs/>
        </w:rPr>
        <w:t>实际完成内容</w:t>
      </w:r>
    </w:p>
    <w:p>
      <w:pPr>
        <w:pStyle w:val="23"/>
        <w:ind w:firstLine="643"/>
        <w:rPr>
          <w:rFonts w:hint="default" w:eastAsia="仿宋_GB2312"/>
          <w:b/>
          <w:bCs/>
          <w:lang w:val="en-US" w:eastAsia="zh-CN"/>
        </w:rPr>
      </w:pPr>
      <w:r>
        <w:rPr>
          <w:rFonts w:hint="eastAsia"/>
          <w:b w:val="0"/>
          <w:bCs w:val="0"/>
          <w:lang w:val="en-US" w:eastAsia="zh-CN"/>
        </w:rPr>
        <w:t>2021年度，</w:t>
      </w:r>
      <w:r>
        <w:rPr>
          <w:rFonts w:hint="eastAsia" w:ascii="Times New Roman" w:hAnsi="Times New Roman" w:eastAsia="仿宋_GB2312" w:cs="Times New Roman"/>
          <w:b w:val="0"/>
          <w:bCs w:val="0"/>
          <w:lang w:val="en-US" w:eastAsia="zh-CN"/>
        </w:rPr>
        <w:t>甘肃省人民代表大会常务委员会办公厅</w:t>
      </w:r>
      <w:r>
        <w:rPr>
          <w:rFonts w:hint="eastAsia"/>
          <w:color w:val="000000" w:themeColor="text1"/>
          <w14:textFill>
            <w14:solidFill>
              <w14:schemeClr w14:val="tx1"/>
            </w14:solidFill>
          </w14:textFill>
        </w:rPr>
        <w:t>各处室均已完成项目计划内容。</w:t>
      </w:r>
      <w:r>
        <w:rPr>
          <w:rFonts w:hint="eastAsia" w:ascii="Times New Roman" w:hAnsi="Times New Roman" w:eastAsia="仿宋_GB2312" w:cs="Times New Roman"/>
          <w:b w:val="0"/>
          <w:bCs w:val="0"/>
          <w:lang w:val="en-US" w:eastAsia="zh-CN"/>
        </w:rPr>
        <w:t>日常办公、水电、取暖、邮电、省内公务出行</w:t>
      </w:r>
      <w:r>
        <w:rPr>
          <w:rFonts w:hint="eastAsia" w:ascii="Times New Roman" w:hAnsi="Times New Roman" w:cs="Times New Roman"/>
          <w:b w:val="0"/>
          <w:bCs w:val="0"/>
          <w:lang w:val="en-US" w:eastAsia="zh-CN"/>
        </w:rPr>
        <w:t>保障了单位工作的顺利开展，并提升了工作效率。</w:t>
      </w:r>
    </w:p>
    <w:p>
      <w:pPr>
        <w:pStyle w:val="24"/>
        <w:outlineLvl w:val="0"/>
      </w:pPr>
      <w:bookmarkStart w:id="16" w:name="_Toc76132240"/>
      <w:bookmarkStart w:id="17" w:name="_Toc76133026"/>
      <w:bookmarkStart w:id="18" w:name="_Toc18528"/>
      <w:bookmarkStart w:id="19" w:name="_Toc77065984"/>
      <w:r>
        <w:rPr>
          <w:rFonts w:hint="eastAsia"/>
        </w:rPr>
        <w:t>项目绩效目标</w:t>
      </w:r>
      <w:bookmarkEnd w:id="16"/>
      <w:bookmarkEnd w:id="17"/>
      <w:bookmarkEnd w:id="18"/>
      <w:bookmarkEnd w:id="19"/>
    </w:p>
    <w:p>
      <w:pPr>
        <w:pStyle w:val="25"/>
        <w:outlineLvl w:val="1"/>
      </w:pPr>
      <w:bookmarkStart w:id="20" w:name="_Toc76133027"/>
      <w:bookmarkStart w:id="21" w:name="_Toc77065985"/>
      <w:bookmarkStart w:id="22" w:name="_Toc10461"/>
      <w:bookmarkStart w:id="23" w:name="_Toc76132241"/>
      <w:r>
        <w:rPr>
          <w:rFonts w:hint="eastAsia"/>
        </w:rPr>
        <w:t>总体绩效目标</w:t>
      </w:r>
      <w:bookmarkEnd w:id="20"/>
      <w:bookmarkEnd w:id="21"/>
      <w:bookmarkEnd w:id="22"/>
      <w:bookmarkEnd w:id="23"/>
    </w:p>
    <w:p>
      <w:pPr>
        <w:pStyle w:val="23"/>
        <w:ind w:firstLine="640"/>
        <w:rPr>
          <w:rFonts w:hint="default" w:eastAsia="仿宋_GB2312"/>
          <w:color w:val="FF0000"/>
          <w:lang w:val="en-US" w:eastAsia="zh-CN"/>
        </w:rPr>
      </w:pPr>
      <w:r>
        <w:rPr>
          <w:rFonts w:hint="eastAsia"/>
          <w:color w:val="auto"/>
          <w:lang w:val="en-US" w:eastAsia="zh-CN"/>
        </w:rPr>
        <w:t>业务费用于保障</w:t>
      </w:r>
      <w:r>
        <w:rPr>
          <w:rFonts w:hint="eastAsia" w:ascii="Times New Roman" w:hAnsi="Times New Roman" w:eastAsia="仿宋_GB2312" w:cs="Times New Roman"/>
          <w:b w:val="0"/>
          <w:bCs w:val="0"/>
          <w:color w:val="auto"/>
          <w:lang w:val="en-US" w:eastAsia="zh-CN"/>
        </w:rPr>
        <w:t>甘肃省</w:t>
      </w:r>
      <w:r>
        <w:rPr>
          <w:rFonts w:hint="eastAsia" w:ascii="Times New Roman" w:hAnsi="Times New Roman" w:eastAsia="仿宋_GB2312" w:cs="Times New Roman"/>
          <w:b w:val="0"/>
          <w:bCs w:val="0"/>
          <w:lang w:val="en-US" w:eastAsia="zh-CN"/>
        </w:rPr>
        <w:t>人民代表大会常务委员会</w:t>
      </w:r>
      <w:r>
        <w:rPr>
          <w:rFonts w:hint="eastAsia" w:ascii="Times New Roman" w:hAnsi="Times New Roman" w:cs="Times New Roman"/>
          <w:b w:val="0"/>
          <w:bCs w:val="0"/>
          <w:lang w:val="en-US" w:eastAsia="zh-CN"/>
        </w:rPr>
        <w:t>机关的日常的</w:t>
      </w:r>
      <w:r>
        <w:rPr>
          <w:rFonts w:hint="eastAsia" w:ascii="Times New Roman" w:hAnsi="Times New Roman" w:eastAsia="仿宋_GB2312" w:cs="Times New Roman"/>
          <w:b w:val="0"/>
          <w:bCs w:val="0"/>
          <w:lang w:val="en-US" w:eastAsia="zh-CN"/>
        </w:rPr>
        <w:t>办公</w:t>
      </w:r>
      <w:r>
        <w:rPr>
          <w:rFonts w:hint="eastAsia" w:ascii="Times New Roman" w:hAnsi="Times New Roman" w:cs="Times New Roman"/>
          <w:b w:val="0"/>
          <w:bCs w:val="0"/>
          <w:lang w:val="en-US" w:eastAsia="zh-CN"/>
        </w:rPr>
        <w:t>费</w:t>
      </w:r>
      <w:r>
        <w:rPr>
          <w:rFonts w:hint="eastAsia" w:ascii="Times New Roman" w:hAnsi="Times New Roman" w:eastAsia="仿宋_GB2312" w:cs="Times New Roman"/>
          <w:b w:val="0"/>
          <w:bCs w:val="0"/>
          <w:lang w:val="en-US" w:eastAsia="zh-CN"/>
        </w:rPr>
        <w:t>、水电、取暖、邮电、省内公务出行</w:t>
      </w:r>
      <w:r>
        <w:rPr>
          <w:rFonts w:hint="eastAsia" w:ascii="Times New Roman" w:hAnsi="Times New Roman" w:cs="Times New Roman"/>
          <w:b w:val="0"/>
          <w:bCs w:val="0"/>
          <w:lang w:val="en-US" w:eastAsia="zh-CN"/>
        </w:rPr>
        <w:t>、网络系统更新工作的顺利开展，为</w:t>
      </w:r>
      <w:r>
        <w:rPr>
          <w:rFonts w:hint="eastAsia" w:ascii="Times New Roman" w:hAnsi="Times New Roman" w:eastAsia="仿宋_GB2312" w:cs="Times New Roman"/>
          <w:b w:val="0"/>
          <w:bCs w:val="0"/>
          <w:lang w:val="en-US" w:eastAsia="zh-CN"/>
        </w:rPr>
        <w:t>甘肃省人民代表大会常务委员会</w:t>
      </w:r>
      <w:r>
        <w:rPr>
          <w:rFonts w:hint="eastAsia" w:ascii="Times New Roman" w:hAnsi="Times New Roman" w:cs="Times New Roman"/>
          <w:b w:val="0"/>
          <w:bCs w:val="0"/>
          <w:lang w:val="en-US" w:eastAsia="zh-CN"/>
        </w:rPr>
        <w:t>日常工作的开展提供了有效保障。</w:t>
      </w:r>
    </w:p>
    <w:p>
      <w:pPr>
        <w:pStyle w:val="25"/>
        <w:outlineLvl w:val="1"/>
      </w:pPr>
      <w:bookmarkStart w:id="24" w:name="_Toc16329"/>
      <w:bookmarkStart w:id="25" w:name="_Toc76133028"/>
      <w:bookmarkStart w:id="26" w:name="_Toc77065986"/>
      <w:bookmarkStart w:id="27" w:name="_Toc76132242"/>
      <w:r>
        <w:rPr>
          <w:rFonts w:hint="eastAsia"/>
          <w:lang w:eastAsia="zh-CN"/>
        </w:rPr>
        <w:t>2021</w:t>
      </w:r>
      <w:r>
        <w:t>年度（或阶段性）绩效目标</w:t>
      </w:r>
      <w:bookmarkEnd w:id="24"/>
      <w:bookmarkEnd w:id="25"/>
      <w:bookmarkEnd w:id="26"/>
      <w:bookmarkEnd w:id="27"/>
    </w:p>
    <w:p>
      <w:pPr>
        <w:pStyle w:val="23"/>
        <w:rPr>
          <w:rFonts w:hint="eastAsia"/>
          <w:color w:val="auto"/>
          <w:lang w:val="en-US" w:eastAsia="zh-CN"/>
        </w:rPr>
      </w:pPr>
      <w:r>
        <w:rPr>
          <w:rFonts w:hint="eastAsia"/>
          <w:color w:val="auto"/>
          <w:lang w:val="en-US" w:eastAsia="zh-CN"/>
        </w:rPr>
        <w:t>一是供给关系不在省人大机关的常委会专职委员、领导秘书及司机约50人的日常办公、水电、取暖、邮电、省内公务出行等支出。二是省人大常委会机关办公取暖、车辆运行等公务支出。三是省人大常委会机关会议系统、安防系统、中央空调、网络系统的更新、升级及维护支出。</w:t>
      </w:r>
    </w:p>
    <w:p>
      <w:pPr>
        <w:pStyle w:val="23"/>
        <w:rPr>
          <w:rFonts w:hint="eastAsia"/>
          <w:b/>
          <w:bCs/>
          <w:sz w:val="28"/>
          <w:szCs w:val="24"/>
        </w:rPr>
      </w:pPr>
      <w:r>
        <w:rPr>
          <w:rFonts w:hint="eastAsia"/>
        </w:rPr>
        <w:t>根据评价组对该项目的深入了解，对原有绩效指标表进行了梳理</w:t>
      </w:r>
      <w:r>
        <w:rPr>
          <w:rFonts w:hint="eastAsia"/>
          <w:lang w:eastAsia="zh-CN"/>
        </w:rPr>
        <w:t>，</w:t>
      </w:r>
      <w:r>
        <w:rPr>
          <w:rFonts w:hint="eastAsia" w:hAnsi="Times New Roman" w:cs="Times New Roman"/>
          <w:sz w:val="32"/>
          <w:szCs w:val="32"/>
          <w:lang w:val="en-US" w:eastAsia="zh-CN"/>
        </w:rPr>
        <w:t>梳理后的</w:t>
      </w:r>
      <w:r>
        <w:rPr>
          <w:rFonts w:hint="eastAsia" w:ascii="仿宋_GB2312" w:hAnsi="Times New Roman" w:eastAsia="仿宋_GB2312" w:cs="Times New Roman"/>
          <w:sz w:val="32"/>
          <w:szCs w:val="32"/>
        </w:rPr>
        <w:t>具体绩效指标见下表1-</w:t>
      </w:r>
      <w:r>
        <w:rPr>
          <w:rFonts w:hint="eastAsia" w:hAnsi="Times New Roman" w:cs="Times New Roman"/>
          <w:sz w:val="32"/>
          <w:szCs w:val="32"/>
          <w:lang w:val="en-US" w:eastAsia="zh-CN"/>
        </w:rPr>
        <w:t>1</w:t>
      </w:r>
      <w:r>
        <w:rPr>
          <w:rFonts w:hint="eastAsia" w:ascii="仿宋_GB2312" w:hAnsi="Times New Roman" w:eastAsia="仿宋_GB2312" w:cs="Times New Roman"/>
          <w:sz w:val="32"/>
          <w:szCs w:val="32"/>
        </w:rPr>
        <w:t>。</w:t>
      </w:r>
    </w:p>
    <w:p>
      <w:pPr>
        <w:pStyle w:val="26"/>
        <w:rPr>
          <w:b/>
          <w:bCs/>
          <w:sz w:val="28"/>
          <w:szCs w:val="24"/>
        </w:rPr>
      </w:pPr>
      <w:r>
        <w:rPr>
          <w:rFonts w:hint="eastAsia"/>
          <w:b/>
          <w:bCs/>
          <w:sz w:val="28"/>
          <w:szCs w:val="24"/>
        </w:rPr>
        <w:t>表1-</w:t>
      </w:r>
      <w:r>
        <w:rPr>
          <w:rFonts w:hint="eastAsia"/>
          <w:b/>
          <w:bCs/>
          <w:sz w:val="28"/>
          <w:szCs w:val="24"/>
          <w:lang w:val="en-US" w:eastAsia="zh-CN"/>
        </w:rPr>
        <w:t>1</w:t>
      </w:r>
      <w:r>
        <w:rPr>
          <w:rFonts w:hint="eastAsia"/>
          <w:b/>
          <w:bCs/>
          <w:sz w:val="28"/>
          <w:szCs w:val="24"/>
        </w:rPr>
        <w:t xml:space="preserve"> </w:t>
      </w:r>
      <w:r>
        <w:rPr>
          <w:rFonts w:hint="eastAsia"/>
          <w:b/>
          <w:bCs/>
          <w:sz w:val="28"/>
          <w:szCs w:val="24"/>
          <w:lang w:eastAsia="zh-CN"/>
        </w:rPr>
        <w:t>2021</w:t>
      </w:r>
      <w:r>
        <w:rPr>
          <w:rFonts w:hint="eastAsia"/>
          <w:b/>
          <w:bCs/>
          <w:sz w:val="28"/>
          <w:szCs w:val="24"/>
        </w:rPr>
        <w:t>年度绩效指标表</w:t>
      </w:r>
    </w:p>
    <w:tbl>
      <w:tblPr>
        <w:tblStyle w:val="14"/>
        <w:tblW w:w="83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6"/>
        <w:gridCol w:w="2278"/>
        <w:gridCol w:w="2844"/>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blHeader/>
          <w:jc w:val="center"/>
        </w:trPr>
        <w:tc>
          <w:tcPr>
            <w:tcW w:w="1276" w:type="dxa"/>
            <w:shd w:val="clear" w:color="auto" w:fill="auto"/>
            <w:tcMar>
              <w:top w:w="12" w:type="dxa"/>
              <w:left w:w="12" w:type="dxa"/>
              <w:right w:w="12" w:type="dxa"/>
            </w:tcMar>
            <w:vAlign w:val="center"/>
          </w:tcPr>
          <w:p>
            <w:pPr>
              <w:pStyle w:val="26"/>
              <w:rPr>
                <w:b/>
                <w:bCs/>
                <w:color w:val="auto"/>
              </w:rPr>
            </w:pPr>
            <w:r>
              <w:rPr>
                <w:rFonts w:hint="eastAsia"/>
                <w:b/>
                <w:bCs/>
                <w:color w:val="auto"/>
              </w:rPr>
              <w:t>一级指标</w:t>
            </w:r>
          </w:p>
        </w:tc>
        <w:tc>
          <w:tcPr>
            <w:tcW w:w="2278" w:type="dxa"/>
            <w:shd w:val="clear" w:color="auto" w:fill="auto"/>
            <w:tcMar>
              <w:top w:w="12" w:type="dxa"/>
              <w:left w:w="12" w:type="dxa"/>
              <w:right w:w="12" w:type="dxa"/>
            </w:tcMar>
            <w:vAlign w:val="center"/>
          </w:tcPr>
          <w:p>
            <w:pPr>
              <w:pStyle w:val="26"/>
              <w:rPr>
                <w:rFonts w:hint="eastAsia"/>
                <w:b/>
                <w:bCs/>
                <w:color w:val="auto"/>
              </w:rPr>
            </w:pPr>
            <w:r>
              <w:rPr>
                <w:rFonts w:hint="eastAsia"/>
                <w:b/>
                <w:bCs/>
                <w:color w:val="auto"/>
              </w:rPr>
              <w:t>二级指标</w:t>
            </w:r>
          </w:p>
        </w:tc>
        <w:tc>
          <w:tcPr>
            <w:tcW w:w="2844" w:type="dxa"/>
            <w:shd w:val="clear" w:color="auto" w:fill="auto"/>
            <w:tcMar>
              <w:top w:w="12" w:type="dxa"/>
              <w:left w:w="12" w:type="dxa"/>
              <w:right w:w="12" w:type="dxa"/>
            </w:tcMar>
            <w:vAlign w:val="center"/>
          </w:tcPr>
          <w:p>
            <w:pPr>
              <w:pStyle w:val="26"/>
              <w:rPr>
                <w:rFonts w:hint="eastAsia"/>
                <w:b/>
                <w:bCs/>
                <w:color w:val="auto"/>
              </w:rPr>
            </w:pPr>
            <w:r>
              <w:rPr>
                <w:rFonts w:hint="eastAsia"/>
                <w:b/>
                <w:bCs/>
                <w:color w:val="auto"/>
              </w:rPr>
              <w:t>三级指标</w:t>
            </w:r>
          </w:p>
        </w:tc>
        <w:tc>
          <w:tcPr>
            <w:tcW w:w="1992" w:type="dxa"/>
            <w:shd w:val="clear" w:color="auto" w:fill="auto"/>
            <w:tcMar>
              <w:top w:w="12" w:type="dxa"/>
              <w:left w:w="12" w:type="dxa"/>
              <w:right w:w="12" w:type="dxa"/>
            </w:tcMar>
            <w:vAlign w:val="center"/>
          </w:tcPr>
          <w:p>
            <w:pPr>
              <w:pStyle w:val="26"/>
              <w:rPr>
                <w:rFonts w:hint="eastAsia"/>
                <w:b/>
                <w:bCs/>
                <w:color w:val="auto"/>
              </w:rPr>
            </w:pPr>
            <w:r>
              <w:rPr>
                <w:rFonts w:hint="eastAsia"/>
                <w:b/>
                <w:bCs/>
                <w:color w:val="auto"/>
              </w:rPr>
              <w:t>指标目标值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restart"/>
            <w:shd w:val="clear" w:color="auto" w:fill="auto"/>
            <w:tcMar>
              <w:top w:w="12" w:type="dxa"/>
              <w:left w:w="12" w:type="dxa"/>
              <w:right w:w="12" w:type="dxa"/>
            </w:tcMar>
            <w:vAlign w:val="center"/>
          </w:tcPr>
          <w:p>
            <w:pPr>
              <w:pStyle w:val="26"/>
              <w:rPr>
                <w:rFonts w:hint="eastAsia"/>
                <w:color w:val="auto"/>
              </w:rPr>
            </w:pPr>
            <w:r>
              <w:rPr>
                <w:rFonts w:hint="eastAsia"/>
                <w:color w:val="auto"/>
              </w:rPr>
              <w:t>投入与管理</w:t>
            </w:r>
          </w:p>
        </w:tc>
        <w:tc>
          <w:tcPr>
            <w:tcW w:w="2278" w:type="dxa"/>
            <w:vMerge w:val="restart"/>
            <w:shd w:val="clear" w:color="auto" w:fill="auto"/>
            <w:tcMar>
              <w:top w:w="12" w:type="dxa"/>
              <w:left w:w="12" w:type="dxa"/>
              <w:right w:w="12" w:type="dxa"/>
            </w:tcMar>
            <w:vAlign w:val="center"/>
          </w:tcPr>
          <w:p>
            <w:pPr>
              <w:pStyle w:val="26"/>
              <w:rPr>
                <w:rFonts w:hint="eastAsia"/>
                <w:color w:val="auto"/>
              </w:rPr>
            </w:pPr>
            <w:r>
              <w:rPr>
                <w:rFonts w:hint="eastAsia"/>
                <w:color w:val="auto"/>
              </w:rPr>
              <w:t>投入管理</w:t>
            </w: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预算资金到位率</w:t>
            </w:r>
          </w:p>
        </w:tc>
        <w:tc>
          <w:tcPr>
            <w:tcW w:w="1992" w:type="dxa"/>
            <w:shd w:val="clear" w:color="auto" w:fill="auto"/>
            <w:tcMar>
              <w:top w:w="12" w:type="dxa"/>
              <w:left w:w="12" w:type="dxa"/>
              <w:right w:w="12" w:type="dxa"/>
            </w:tcMar>
            <w:vAlign w:val="center"/>
          </w:tcPr>
          <w:p>
            <w:pPr>
              <w:pStyle w:val="26"/>
              <w:rPr>
                <w:rFonts w:hint="eastAsia"/>
                <w:color w:val="auto"/>
              </w:rPr>
            </w:pPr>
            <w:r>
              <w:rPr>
                <w:rFonts w:hint="eastAsia"/>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预算执行率</w:t>
            </w:r>
          </w:p>
        </w:tc>
        <w:tc>
          <w:tcPr>
            <w:tcW w:w="1992" w:type="dxa"/>
            <w:shd w:val="clear" w:color="auto" w:fill="auto"/>
            <w:tcMar>
              <w:top w:w="12" w:type="dxa"/>
              <w:left w:w="12" w:type="dxa"/>
              <w:right w:w="12" w:type="dxa"/>
            </w:tcMar>
            <w:vAlign w:val="center"/>
          </w:tcPr>
          <w:p>
            <w:pPr>
              <w:pStyle w:val="26"/>
              <w:rPr>
                <w:rFonts w:hint="eastAsia"/>
                <w:color w:val="auto"/>
              </w:rPr>
            </w:pPr>
            <w:r>
              <w:rPr>
                <w:rFonts w:hint="eastAsia"/>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预算编制合理性</w:t>
            </w:r>
          </w:p>
        </w:tc>
        <w:tc>
          <w:tcPr>
            <w:tcW w:w="1992" w:type="dxa"/>
            <w:shd w:val="clear" w:color="auto" w:fill="auto"/>
            <w:tcMar>
              <w:top w:w="12" w:type="dxa"/>
              <w:left w:w="12" w:type="dxa"/>
              <w:right w:w="12" w:type="dxa"/>
            </w:tcMar>
            <w:vAlign w:val="center"/>
          </w:tcPr>
          <w:p>
            <w:pPr>
              <w:pStyle w:val="26"/>
              <w:rPr>
                <w:rFonts w:hint="eastAsia"/>
                <w:color w:val="auto"/>
              </w:rPr>
            </w:pPr>
            <w:r>
              <w:rPr>
                <w:rFonts w:hint="eastAsia"/>
                <w:color w:val="auto"/>
              </w:rPr>
              <w:t>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restart"/>
            <w:shd w:val="clear" w:color="auto" w:fill="auto"/>
            <w:tcMar>
              <w:top w:w="12" w:type="dxa"/>
              <w:left w:w="12" w:type="dxa"/>
              <w:right w:w="12" w:type="dxa"/>
            </w:tcMar>
            <w:vAlign w:val="center"/>
          </w:tcPr>
          <w:p>
            <w:pPr>
              <w:pStyle w:val="26"/>
              <w:rPr>
                <w:rFonts w:hint="eastAsia"/>
                <w:color w:val="auto"/>
              </w:rPr>
            </w:pPr>
            <w:r>
              <w:rPr>
                <w:rFonts w:hint="eastAsia"/>
                <w:color w:val="auto"/>
              </w:rPr>
              <w:t>财务管理</w:t>
            </w: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财务监控有效性</w:t>
            </w:r>
          </w:p>
        </w:tc>
        <w:tc>
          <w:tcPr>
            <w:tcW w:w="1992" w:type="dxa"/>
            <w:shd w:val="clear" w:color="auto" w:fill="auto"/>
            <w:tcMar>
              <w:top w:w="12" w:type="dxa"/>
              <w:left w:w="12" w:type="dxa"/>
              <w:right w:w="12" w:type="dxa"/>
            </w:tcMar>
            <w:vAlign w:val="center"/>
          </w:tcPr>
          <w:p>
            <w:pPr>
              <w:pStyle w:val="26"/>
              <w:rPr>
                <w:rFonts w:hint="eastAsia"/>
                <w:color w:val="auto"/>
              </w:rPr>
            </w:pPr>
            <w:r>
              <w:rPr>
                <w:rFonts w:hint="eastAsia"/>
                <w:color w:val="auto"/>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资金使用规范性</w:t>
            </w:r>
          </w:p>
        </w:tc>
        <w:tc>
          <w:tcPr>
            <w:tcW w:w="1992" w:type="dxa"/>
            <w:shd w:val="clear" w:color="auto" w:fill="auto"/>
            <w:tcMar>
              <w:top w:w="12" w:type="dxa"/>
              <w:left w:w="12" w:type="dxa"/>
              <w:right w:w="12" w:type="dxa"/>
            </w:tcMar>
            <w:vAlign w:val="center"/>
          </w:tcPr>
          <w:p>
            <w:pPr>
              <w:pStyle w:val="26"/>
              <w:rPr>
                <w:rFonts w:hint="eastAsia"/>
                <w:color w:val="auto"/>
              </w:rPr>
            </w:pPr>
            <w:r>
              <w:rPr>
                <w:rFonts w:hint="eastAsia"/>
                <w:color w:val="auto"/>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财务管理制度健全性</w:t>
            </w:r>
          </w:p>
        </w:tc>
        <w:tc>
          <w:tcPr>
            <w:tcW w:w="1992" w:type="dxa"/>
            <w:shd w:val="clear" w:color="auto" w:fill="auto"/>
            <w:tcMar>
              <w:top w:w="12" w:type="dxa"/>
              <w:left w:w="12" w:type="dxa"/>
              <w:right w:w="12" w:type="dxa"/>
            </w:tcMar>
            <w:vAlign w:val="center"/>
          </w:tcPr>
          <w:p>
            <w:pPr>
              <w:pStyle w:val="26"/>
              <w:rPr>
                <w:rFonts w:hint="eastAsia"/>
                <w:color w:val="auto"/>
              </w:rPr>
            </w:pPr>
            <w:r>
              <w:rPr>
                <w:rFonts w:hint="eastAsia"/>
                <w:color w:val="auto"/>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restart"/>
            <w:shd w:val="clear" w:color="auto" w:fill="auto"/>
            <w:tcMar>
              <w:top w:w="12" w:type="dxa"/>
              <w:left w:w="12" w:type="dxa"/>
              <w:right w:w="12" w:type="dxa"/>
            </w:tcMar>
            <w:vAlign w:val="center"/>
          </w:tcPr>
          <w:p>
            <w:pPr>
              <w:pStyle w:val="26"/>
              <w:rPr>
                <w:rFonts w:hint="eastAsia"/>
                <w:color w:val="auto"/>
              </w:rPr>
            </w:pPr>
            <w:r>
              <w:rPr>
                <w:rFonts w:hint="eastAsia"/>
                <w:color w:val="auto"/>
              </w:rPr>
              <w:t>实施管理</w:t>
            </w: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合同管理完备性</w:t>
            </w:r>
          </w:p>
        </w:tc>
        <w:tc>
          <w:tcPr>
            <w:tcW w:w="1992" w:type="dxa"/>
            <w:shd w:val="clear" w:color="auto" w:fill="auto"/>
            <w:tcMar>
              <w:top w:w="12" w:type="dxa"/>
              <w:left w:w="12" w:type="dxa"/>
              <w:right w:w="12" w:type="dxa"/>
            </w:tcMar>
            <w:vAlign w:val="center"/>
          </w:tcPr>
          <w:p>
            <w:pPr>
              <w:pStyle w:val="26"/>
              <w:rPr>
                <w:rFonts w:hint="eastAsia"/>
                <w:color w:val="auto"/>
              </w:rPr>
            </w:pPr>
            <w:r>
              <w:rPr>
                <w:rFonts w:hint="eastAsia"/>
                <w:color w:val="auto"/>
              </w:rPr>
              <w:t>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政府采购规范性</w:t>
            </w:r>
          </w:p>
        </w:tc>
        <w:tc>
          <w:tcPr>
            <w:tcW w:w="1992" w:type="dxa"/>
            <w:shd w:val="clear" w:color="auto" w:fill="auto"/>
            <w:tcMar>
              <w:top w:w="12" w:type="dxa"/>
              <w:left w:w="12" w:type="dxa"/>
              <w:right w:w="12" w:type="dxa"/>
            </w:tcMar>
            <w:vAlign w:val="center"/>
          </w:tcPr>
          <w:p>
            <w:pPr>
              <w:pStyle w:val="26"/>
              <w:rPr>
                <w:rFonts w:hint="eastAsia"/>
                <w:color w:val="auto"/>
              </w:rPr>
            </w:pPr>
            <w:r>
              <w:rPr>
                <w:rFonts w:hint="eastAsia"/>
                <w:color w:val="auto"/>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项目质量可控性</w:t>
            </w:r>
          </w:p>
        </w:tc>
        <w:tc>
          <w:tcPr>
            <w:tcW w:w="1992" w:type="dxa"/>
            <w:shd w:val="clear" w:color="auto" w:fill="auto"/>
            <w:tcMar>
              <w:top w:w="12" w:type="dxa"/>
              <w:left w:w="12" w:type="dxa"/>
              <w:right w:w="12" w:type="dxa"/>
            </w:tcMar>
            <w:vAlign w:val="center"/>
          </w:tcPr>
          <w:p>
            <w:pPr>
              <w:pStyle w:val="26"/>
              <w:rPr>
                <w:rFonts w:hint="eastAsia"/>
                <w:color w:val="auto"/>
              </w:rPr>
            </w:pPr>
            <w:r>
              <w:rPr>
                <w:rFonts w:hint="eastAsia"/>
                <w:color w:val="auto"/>
              </w:rPr>
              <w:t>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项目管理制度健全性</w:t>
            </w:r>
          </w:p>
        </w:tc>
        <w:tc>
          <w:tcPr>
            <w:tcW w:w="1992" w:type="dxa"/>
            <w:shd w:val="clear" w:color="auto" w:fill="auto"/>
            <w:tcMar>
              <w:top w:w="12" w:type="dxa"/>
              <w:left w:w="12" w:type="dxa"/>
              <w:right w:w="12" w:type="dxa"/>
            </w:tcMar>
            <w:vAlign w:val="center"/>
          </w:tcPr>
          <w:p>
            <w:pPr>
              <w:pStyle w:val="26"/>
              <w:rPr>
                <w:rFonts w:hint="eastAsia"/>
                <w:color w:val="auto"/>
              </w:rPr>
            </w:pPr>
            <w:r>
              <w:rPr>
                <w:rFonts w:hint="eastAsia"/>
                <w:color w:val="auto"/>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restart"/>
            <w:shd w:val="clear" w:color="auto" w:fill="auto"/>
            <w:tcMar>
              <w:top w:w="12" w:type="dxa"/>
              <w:left w:w="12" w:type="dxa"/>
              <w:right w:w="12" w:type="dxa"/>
            </w:tcMar>
            <w:vAlign w:val="center"/>
          </w:tcPr>
          <w:p>
            <w:pPr>
              <w:pStyle w:val="26"/>
              <w:rPr>
                <w:rFonts w:hint="eastAsia"/>
                <w:color w:val="auto"/>
              </w:rPr>
            </w:pPr>
            <w:r>
              <w:rPr>
                <w:rFonts w:hint="eastAsia"/>
                <w:color w:val="auto"/>
              </w:rPr>
              <w:t>产出指标</w:t>
            </w:r>
          </w:p>
        </w:tc>
        <w:tc>
          <w:tcPr>
            <w:tcW w:w="2278" w:type="dxa"/>
            <w:vMerge w:val="restart"/>
            <w:shd w:val="clear" w:color="auto" w:fill="auto"/>
            <w:tcMar>
              <w:top w:w="12" w:type="dxa"/>
              <w:left w:w="12" w:type="dxa"/>
              <w:right w:w="12" w:type="dxa"/>
            </w:tcMar>
            <w:vAlign w:val="center"/>
          </w:tcPr>
          <w:p>
            <w:pPr>
              <w:pStyle w:val="26"/>
              <w:rPr>
                <w:rFonts w:hint="eastAsia"/>
                <w:color w:val="auto"/>
              </w:rPr>
            </w:pPr>
            <w:r>
              <w:rPr>
                <w:rFonts w:hint="eastAsia"/>
                <w:color w:val="auto"/>
              </w:rPr>
              <w:t>数量指标</w:t>
            </w: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办公场所供暖面积</w:t>
            </w:r>
          </w:p>
        </w:tc>
        <w:tc>
          <w:tcPr>
            <w:tcW w:w="1992" w:type="dxa"/>
            <w:shd w:val="clear" w:color="auto" w:fill="auto"/>
            <w:tcMar>
              <w:top w:w="12" w:type="dxa"/>
              <w:left w:w="12" w:type="dxa"/>
              <w:right w:w="12" w:type="dxa"/>
            </w:tcMar>
            <w:vAlign w:val="center"/>
          </w:tcPr>
          <w:p>
            <w:pPr>
              <w:pStyle w:val="26"/>
              <w:rPr>
                <w:rFonts w:hint="eastAsia" w:eastAsia="仿宋_GB2312"/>
                <w:color w:val="auto"/>
                <w:lang w:val="en-US" w:eastAsia="zh-CN"/>
              </w:rPr>
            </w:pPr>
            <w:r>
              <w:rPr>
                <w:rFonts w:hint="eastAsia"/>
                <w:color w:val="auto"/>
                <w:lang w:val="en-US" w:eastAsia="zh-CN"/>
              </w:rPr>
              <w:t>≥23056平方米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公务用车数量</w:t>
            </w:r>
          </w:p>
        </w:tc>
        <w:tc>
          <w:tcPr>
            <w:tcW w:w="1992" w:type="dxa"/>
            <w:shd w:val="clear" w:color="auto" w:fill="auto"/>
            <w:tcMar>
              <w:top w:w="12" w:type="dxa"/>
              <w:left w:w="12" w:type="dxa"/>
              <w:right w:w="12" w:type="dxa"/>
            </w:tcMar>
            <w:vAlign w:val="center"/>
          </w:tcPr>
          <w:p>
            <w:pPr>
              <w:pStyle w:val="26"/>
              <w:rPr>
                <w:rFonts w:hint="default" w:eastAsia="仿宋_GB2312"/>
                <w:color w:val="auto"/>
                <w:lang w:val="en-US" w:eastAsia="zh-CN"/>
              </w:rPr>
            </w:pPr>
            <w:r>
              <w:rPr>
                <w:rFonts w:hint="eastAsia"/>
                <w:color w:val="auto"/>
                <w:lang w:val="en-US" w:eastAsia="zh-CN"/>
              </w:rPr>
              <w:t>=34辆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全年水电费缴纳次数</w:t>
            </w:r>
          </w:p>
        </w:tc>
        <w:tc>
          <w:tcPr>
            <w:tcW w:w="1992" w:type="dxa"/>
            <w:shd w:val="clear" w:color="auto" w:fill="auto"/>
            <w:tcMar>
              <w:top w:w="12" w:type="dxa"/>
              <w:left w:w="12" w:type="dxa"/>
              <w:right w:w="12" w:type="dxa"/>
            </w:tcMar>
            <w:vAlign w:val="center"/>
          </w:tcPr>
          <w:p>
            <w:pPr>
              <w:pStyle w:val="26"/>
              <w:rPr>
                <w:rFonts w:hint="default" w:eastAsia="仿宋_GB2312"/>
                <w:color w:val="auto"/>
                <w:lang w:val="en-US" w:eastAsia="zh-CN"/>
              </w:rPr>
            </w:pPr>
            <w:r>
              <w:rPr>
                <w:rFonts w:hint="eastAsia"/>
                <w:color w:val="auto"/>
                <w:lang w:val="en-US" w:eastAsia="zh-CN"/>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支付邮电费用次数</w:t>
            </w:r>
          </w:p>
        </w:tc>
        <w:tc>
          <w:tcPr>
            <w:tcW w:w="1992" w:type="dxa"/>
            <w:shd w:val="clear" w:color="auto" w:fill="auto"/>
            <w:tcMar>
              <w:top w:w="12" w:type="dxa"/>
              <w:left w:w="12" w:type="dxa"/>
              <w:right w:w="12" w:type="dxa"/>
            </w:tcMar>
            <w:vAlign w:val="center"/>
          </w:tcPr>
          <w:p>
            <w:pPr>
              <w:pStyle w:val="26"/>
              <w:rPr>
                <w:rFonts w:hint="default"/>
                <w:color w:val="auto"/>
                <w:lang w:val="en-US" w:eastAsia="zh-CN"/>
              </w:rPr>
            </w:pPr>
            <w:r>
              <w:rPr>
                <w:rFonts w:hint="eastAsia"/>
                <w:color w:val="auto"/>
                <w:lang w:val="en-US" w:eastAsia="zh-CN"/>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维护单位各类系统数量</w:t>
            </w:r>
          </w:p>
        </w:tc>
        <w:tc>
          <w:tcPr>
            <w:tcW w:w="1992" w:type="dxa"/>
            <w:shd w:val="clear" w:color="auto" w:fill="auto"/>
            <w:tcMar>
              <w:top w:w="12" w:type="dxa"/>
              <w:left w:w="12" w:type="dxa"/>
              <w:right w:w="12" w:type="dxa"/>
            </w:tcMar>
            <w:vAlign w:val="center"/>
          </w:tcPr>
          <w:p>
            <w:pPr>
              <w:pStyle w:val="26"/>
              <w:rPr>
                <w:rFonts w:hint="default" w:eastAsia="仿宋_GB2312"/>
                <w:color w:val="auto"/>
                <w:lang w:val="en-US" w:eastAsia="zh-CN"/>
              </w:rPr>
            </w:pPr>
            <w:r>
              <w:rPr>
                <w:rFonts w:hint="eastAsia"/>
                <w:color w:val="auto"/>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restart"/>
            <w:shd w:val="clear" w:color="auto" w:fill="auto"/>
            <w:tcMar>
              <w:top w:w="12" w:type="dxa"/>
              <w:left w:w="12" w:type="dxa"/>
              <w:right w:w="12" w:type="dxa"/>
            </w:tcMar>
            <w:vAlign w:val="center"/>
          </w:tcPr>
          <w:p>
            <w:pPr>
              <w:pStyle w:val="26"/>
              <w:rPr>
                <w:rFonts w:hint="eastAsia"/>
                <w:color w:val="auto"/>
              </w:rPr>
            </w:pPr>
            <w:r>
              <w:rPr>
                <w:rFonts w:hint="eastAsia"/>
                <w:color w:val="auto"/>
              </w:rPr>
              <w:t>质量指标</w:t>
            </w: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办公场所供暖覆盖率</w:t>
            </w:r>
          </w:p>
        </w:tc>
        <w:tc>
          <w:tcPr>
            <w:tcW w:w="1992" w:type="dxa"/>
            <w:shd w:val="clear" w:color="auto" w:fill="auto"/>
            <w:tcMar>
              <w:top w:w="12" w:type="dxa"/>
              <w:left w:w="12" w:type="dxa"/>
              <w:right w:w="12" w:type="dxa"/>
            </w:tcMar>
            <w:vAlign w:val="center"/>
          </w:tcPr>
          <w:p>
            <w:pPr>
              <w:pStyle w:val="26"/>
              <w:rPr>
                <w:rFonts w:hint="default" w:eastAsia="仿宋_GB2312"/>
                <w:color w:val="auto"/>
                <w:lang w:val="en-US" w:eastAsia="zh-CN"/>
              </w:rPr>
            </w:pPr>
            <w:r>
              <w:rPr>
                <w:rFonts w:hint="eastAsia"/>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rFonts w:hint="eastAsia"/>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公务车辆保养率</w:t>
            </w:r>
          </w:p>
        </w:tc>
        <w:tc>
          <w:tcPr>
            <w:tcW w:w="1992" w:type="dxa"/>
            <w:shd w:val="clear" w:color="auto" w:fill="auto"/>
            <w:tcMar>
              <w:top w:w="12" w:type="dxa"/>
              <w:left w:w="12" w:type="dxa"/>
              <w:right w:w="12" w:type="dxa"/>
            </w:tcMar>
            <w:vAlign w:val="center"/>
          </w:tcPr>
          <w:p>
            <w:pPr>
              <w:pStyle w:val="26"/>
              <w:rPr>
                <w:rFonts w:hint="default" w:eastAsia="仿宋_GB2312"/>
                <w:color w:val="auto"/>
                <w:lang w:val="en-US" w:eastAsia="zh-CN"/>
              </w:rPr>
            </w:pPr>
            <w:r>
              <w:rPr>
                <w:rFonts w:hint="eastAsia"/>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rFonts w:hint="eastAsia"/>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立法调研成果形成率</w:t>
            </w:r>
          </w:p>
        </w:tc>
        <w:tc>
          <w:tcPr>
            <w:tcW w:w="1992" w:type="dxa"/>
            <w:shd w:val="clear" w:color="auto" w:fill="auto"/>
            <w:tcMar>
              <w:top w:w="12" w:type="dxa"/>
              <w:left w:w="12" w:type="dxa"/>
              <w:right w:w="12" w:type="dxa"/>
            </w:tcMar>
            <w:vAlign w:val="center"/>
          </w:tcPr>
          <w:p>
            <w:pPr>
              <w:pStyle w:val="26"/>
              <w:rPr>
                <w:rFonts w:hint="default"/>
                <w:color w:val="auto"/>
                <w:lang w:val="en-US" w:eastAsia="zh-CN"/>
              </w:rPr>
            </w:pPr>
            <w:r>
              <w:rPr>
                <w:rFonts w:hint="eastAsia"/>
                <w:color w:val="auto"/>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rFonts w:hint="eastAsia"/>
                <w:color w:val="auto"/>
              </w:rPr>
            </w:pPr>
          </w:p>
        </w:tc>
        <w:tc>
          <w:tcPr>
            <w:tcW w:w="2844" w:type="dxa"/>
            <w:shd w:val="clear" w:color="auto" w:fill="auto"/>
            <w:tcMar>
              <w:top w:w="12" w:type="dxa"/>
              <w:left w:w="12" w:type="dxa"/>
              <w:right w:w="12" w:type="dxa"/>
            </w:tcMar>
            <w:vAlign w:val="center"/>
          </w:tcPr>
          <w:p>
            <w:pPr>
              <w:pStyle w:val="26"/>
              <w:rPr>
                <w:rFonts w:hint="eastAsia" w:eastAsia="仿宋_GB2312"/>
                <w:color w:val="auto"/>
                <w:lang w:val="en-US" w:eastAsia="zh-CN"/>
              </w:rPr>
            </w:pPr>
            <w:r>
              <w:rPr>
                <w:rFonts w:hint="eastAsia"/>
                <w:color w:val="auto"/>
              </w:rPr>
              <w:t>系统运行稳定</w:t>
            </w:r>
            <w:r>
              <w:rPr>
                <w:rFonts w:hint="eastAsia"/>
                <w:color w:val="auto"/>
                <w:lang w:val="en-US" w:eastAsia="zh-CN"/>
              </w:rPr>
              <w:t>率</w:t>
            </w:r>
          </w:p>
        </w:tc>
        <w:tc>
          <w:tcPr>
            <w:tcW w:w="1992" w:type="dxa"/>
            <w:shd w:val="clear" w:color="auto" w:fill="auto"/>
            <w:tcMar>
              <w:top w:w="12" w:type="dxa"/>
              <w:left w:w="12" w:type="dxa"/>
              <w:right w:w="12" w:type="dxa"/>
            </w:tcMar>
            <w:vAlign w:val="center"/>
          </w:tcPr>
          <w:p>
            <w:pPr>
              <w:pStyle w:val="26"/>
              <w:rPr>
                <w:rFonts w:hint="default" w:eastAsia="仿宋_GB2312"/>
                <w:color w:val="auto"/>
                <w:lang w:val="en-US" w:eastAsia="zh-CN"/>
              </w:rPr>
            </w:pPr>
            <w:r>
              <w:rPr>
                <w:rFonts w:hint="eastAsia"/>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restart"/>
            <w:shd w:val="clear" w:color="auto" w:fill="auto"/>
            <w:tcMar>
              <w:top w:w="12" w:type="dxa"/>
              <w:left w:w="12" w:type="dxa"/>
              <w:right w:w="12" w:type="dxa"/>
            </w:tcMar>
            <w:vAlign w:val="center"/>
          </w:tcPr>
          <w:p>
            <w:pPr>
              <w:pStyle w:val="26"/>
              <w:rPr>
                <w:rFonts w:hint="eastAsia"/>
                <w:color w:val="auto"/>
              </w:rPr>
            </w:pPr>
            <w:r>
              <w:rPr>
                <w:rFonts w:hint="eastAsia"/>
                <w:color w:val="auto"/>
              </w:rPr>
              <w:t>时效指标</w:t>
            </w:r>
          </w:p>
        </w:tc>
        <w:tc>
          <w:tcPr>
            <w:tcW w:w="2844" w:type="dxa"/>
            <w:shd w:val="clear" w:color="auto" w:fill="auto"/>
            <w:tcMar>
              <w:top w:w="12" w:type="dxa"/>
              <w:left w:w="12" w:type="dxa"/>
              <w:right w:w="12" w:type="dxa"/>
            </w:tcMar>
            <w:vAlign w:val="center"/>
          </w:tcPr>
          <w:p>
            <w:pPr>
              <w:pStyle w:val="26"/>
              <w:rPr>
                <w:rFonts w:hint="default" w:eastAsia="仿宋_GB2312"/>
                <w:color w:val="auto"/>
                <w:lang w:val="en-US" w:eastAsia="zh-CN"/>
              </w:rPr>
            </w:pPr>
            <w:r>
              <w:rPr>
                <w:rFonts w:hint="eastAsia"/>
                <w:color w:val="auto"/>
                <w:lang w:val="en-US" w:eastAsia="zh-CN"/>
              </w:rPr>
              <w:t>系统维护及时性</w:t>
            </w:r>
          </w:p>
        </w:tc>
        <w:tc>
          <w:tcPr>
            <w:tcW w:w="1992" w:type="dxa"/>
            <w:shd w:val="clear" w:color="auto" w:fill="auto"/>
            <w:tcMar>
              <w:top w:w="12" w:type="dxa"/>
              <w:left w:w="12" w:type="dxa"/>
              <w:right w:w="12" w:type="dxa"/>
            </w:tcMar>
            <w:vAlign w:val="center"/>
          </w:tcPr>
          <w:p>
            <w:pPr>
              <w:pStyle w:val="26"/>
              <w:rPr>
                <w:rFonts w:hint="default" w:eastAsia="仿宋_GB2312"/>
                <w:color w:val="auto"/>
                <w:lang w:val="en-US" w:eastAsia="zh-CN"/>
              </w:rPr>
            </w:pPr>
            <w:r>
              <w:rPr>
                <w:rFonts w:hint="eastAsia"/>
                <w:color w:val="auto"/>
                <w:lang w:val="en-US"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rFonts w:hint="eastAsia"/>
                <w:color w:val="auto"/>
              </w:rPr>
            </w:pPr>
          </w:p>
        </w:tc>
        <w:tc>
          <w:tcPr>
            <w:tcW w:w="2844" w:type="dxa"/>
            <w:shd w:val="clear" w:color="auto" w:fill="auto"/>
            <w:tcMar>
              <w:top w:w="12" w:type="dxa"/>
              <w:left w:w="12" w:type="dxa"/>
              <w:right w:w="12" w:type="dxa"/>
            </w:tcMar>
            <w:vAlign w:val="center"/>
          </w:tcPr>
          <w:p>
            <w:pPr>
              <w:pStyle w:val="26"/>
              <w:rPr>
                <w:rFonts w:hint="eastAsia"/>
                <w:color w:val="auto"/>
                <w:lang w:val="en-US" w:eastAsia="zh-CN"/>
              </w:rPr>
            </w:pPr>
            <w:r>
              <w:rPr>
                <w:rFonts w:hint="eastAsia"/>
                <w:color w:val="auto"/>
                <w:lang w:val="en-US" w:eastAsia="zh-CN"/>
              </w:rPr>
              <w:t>立法调研及时性</w:t>
            </w:r>
          </w:p>
        </w:tc>
        <w:tc>
          <w:tcPr>
            <w:tcW w:w="1992" w:type="dxa"/>
            <w:shd w:val="clear" w:color="auto" w:fill="auto"/>
            <w:tcMar>
              <w:top w:w="12" w:type="dxa"/>
              <w:left w:w="12" w:type="dxa"/>
              <w:right w:w="12" w:type="dxa"/>
            </w:tcMar>
            <w:vAlign w:val="center"/>
          </w:tcPr>
          <w:p>
            <w:pPr>
              <w:pStyle w:val="26"/>
              <w:rPr>
                <w:rFonts w:hint="default"/>
                <w:color w:val="auto"/>
                <w:lang w:val="en-US" w:eastAsia="zh-CN"/>
              </w:rPr>
            </w:pPr>
            <w:r>
              <w:rPr>
                <w:rFonts w:hint="eastAsia"/>
                <w:color w:val="auto"/>
                <w:lang w:val="en-US"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rFonts w:hint="eastAsia"/>
                <w:color w:val="auto"/>
              </w:rPr>
            </w:pPr>
          </w:p>
        </w:tc>
        <w:tc>
          <w:tcPr>
            <w:tcW w:w="2844" w:type="dxa"/>
            <w:shd w:val="clear" w:color="auto" w:fill="auto"/>
            <w:tcMar>
              <w:top w:w="12" w:type="dxa"/>
              <w:left w:w="12" w:type="dxa"/>
              <w:right w:w="12" w:type="dxa"/>
            </w:tcMar>
            <w:vAlign w:val="center"/>
          </w:tcPr>
          <w:p>
            <w:pPr>
              <w:pStyle w:val="26"/>
              <w:rPr>
                <w:rFonts w:hint="eastAsia" w:ascii="仿宋_GB2312" w:hAnsi="仿宋_GB2312" w:eastAsia="仿宋_GB2312" w:cstheme="minorBidi"/>
                <w:color w:val="auto"/>
                <w:kern w:val="2"/>
                <w:sz w:val="24"/>
                <w:szCs w:val="22"/>
                <w:lang w:val="en-US" w:eastAsia="zh-CN" w:bidi="ar-SA"/>
              </w:rPr>
            </w:pPr>
            <w:r>
              <w:rPr>
                <w:rFonts w:hint="eastAsia"/>
                <w:color w:val="auto"/>
                <w:lang w:val="en-US" w:eastAsia="zh-CN"/>
              </w:rPr>
              <w:t>邮费支付及时性</w:t>
            </w:r>
          </w:p>
        </w:tc>
        <w:tc>
          <w:tcPr>
            <w:tcW w:w="1992" w:type="dxa"/>
            <w:shd w:val="clear" w:color="auto" w:fill="auto"/>
            <w:tcMar>
              <w:top w:w="12" w:type="dxa"/>
              <w:left w:w="12" w:type="dxa"/>
              <w:right w:w="12" w:type="dxa"/>
            </w:tcMar>
            <w:vAlign w:val="center"/>
          </w:tcPr>
          <w:p>
            <w:pPr>
              <w:pStyle w:val="26"/>
              <w:rPr>
                <w:rFonts w:hint="eastAsia" w:ascii="仿宋_GB2312" w:hAnsi="仿宋_GB2312" w:eastAsia="仿宋_GB2312" w:cstheme="minorBidi"/>
                <w:color w:val="auto"/>
                <w:kern w:val="2"/>
                <w:sz w:val="24"/>
                <w:szCs w:val="22"/>
                <w:lang w:val="en-US" w:eastAsia="zh-CN" w:bidi="ar-SA"/>
              </w:rPr>
            </w:pPr>
            <w:r>
              <w:rPr>
                <w:rFonts w:hint="eastAsia"/>
                <w:color w:val="auto"/>
                <w:lang w:val="en-US"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shd w:val="clear" w:color="auto" w:fill="auto"/>
            <w:tcMar>
              <w:top w:w="12" w:type="dxa"/>
              <w:left w:w="12" w:type="dxa"/>
              <w:right w:w="12" w:type="dxa"/>
            </w:tcMar>
            <w:vAlign w:val="center"/>
          </w:tcPr>
          <w:p>
            <w:pPr>
              <w:pStyle w:val="26"/>
              <w:rPr>
                <w:rFonts w:hint="default" w:eastAsia="仿宋_GB2312"/>
                <w:color w:val="auto"/>
                <w:lang w:val="en-US" w:eastAsia="zh-CN"/>
              </w:rPr>
            </w:pPr>
            <w:r>
              <w:rPr>
                <w:rFonts w:hint="eastAsia"/>
                <w:color w:val="auto"/>
                <w:lang w:val="en-US" w:eastAsia="zh-CN"/>
              </w:rPr>
              <w:t>成本指标</w:t>
            </w:r>
          </w:p>
        </w:tc>
        <w:tc>
          <w:tcPr>
            <w:tcW w:w="2844" w:type="dxa"/>
            <w:shd w:val="clear" w:color="auto" w:fill="auto"/>
            <w:tcMar>
              <w:top w:w="12" w:type="dxa"/>
              <w:left w:w="12" w:type="dxa"/>
              <w:right w:w="12" w:type="dxa"/>
            </w:tcMar>
            <w:vAlign w:val="center"/>
          </w:tcPr>
          <w:p>
            <w:pPr>
              <w:pStyle w:val="26"/>
              <w:rPr>
                <w:rFonts w:hint="default"/>
                <w:color w:val="auto"/>
                <w:lang w:val="en-US" w:eastAsia="zh-CN"/>
              </w:rPr>
            </w:pPr>
            <w:r>
              <w:rPr>
                <w:rFonts w:hint="eastAsia"/>
                <w:color w:val="auto"/>
                <w:lang w:val="en-US" w:eastAsia="zh-CN"/>
              </w:rPr>
              <w:t>成本控制率</w:t>
            </w:r>
          </w:p>
        </w:tc>
        <w:tc>
          <w:tcPr>
            <w:tcW w:w="1992" w:type="dxa"/>
            <w:shd w:val="clear" w:color="auto" w:fill="auto"/>
            <w:tcMar>
              <w:top w:w="12" w:type="dxa"/>
              <w:left w:w="12" w:type="dxa"/>
              <w:right w:w="12" w:type="dxa"/>
            </w:tcMar>
            <w:vAlign w:val="center"/>
          </w:tcPr>
          <w:p>
            <w:pPr>
              <w:pStyle w:val="26"/>
              <w:rPr>
                <w:rFonts w:hint="default"/>
                <w:color w:val="auto"/>
                <w:lang w:val="en-US" w:eastAsia="zh-CN"/>
              </w:rPr>
            </w:pPr>
            <w:r>
              <w:rPr>
                <w:rFonts w:hint="eastAsia"/>
                <w:color w:val="auto"/>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restart"/>
            <w:shd w:val="clear" w:color="auto" w:fill="auto"/>
            <w:tcMar>
              <w:top w:w="12" w:type="dxa"/>
              <w:left w:w="12" w:type="dxa"/>
              <w:right w:w="12" w:type="dxa"/>
            </w:tcMar>
            <w:vAlign w:val="center"/>
          </w:tcPr>
          <w:p>
            <w:pPr>
              <w:pStyle w:val="26"/>
              <w:rPr>
                <w:rFonts w:hint="eastAsia"/>
                <w:color w:val="auto"/>
              </w:rPr>
            </w:pPr>
            <w:r>
              <w:rPr>
                <w:rFonts w:hint="eastAsia"/>
                <w:color w:val="auto"/>
              </w:rPr>
              <w:t>效果指标</w:t>
            </w:r>
          </w:p>
        </w:tc>
        <w:tc>
          <w:tcPr>
            <w:tcW w:w="2278" w:type="dxa"/>
            <w:shd w:val="clear" w:color="auto" w:fill="auto"/>
            <w:tcMar>
              <w:top w:w="12" w:type="dxa"/>
              <w:left w:w="12" w:type="dxa"/>
              <w:right w:w="12" w:type="dxa"/>
            </w:tcMar>
            <w:vAlign w:val="center"/>
          </w:tcPr>
          <w:p>
            <w:pPr>
              <w:pStyle w:val="26"/>
              <w:rPr>
                <w:rFonts w:hint="eastAsia"/>
                <w:color w:val="auto"/>
              </w:rPr>
            </w:pPr>
            <w:r>
              <w:rPr>
                <w:rFonts w:hint="eastAsia"/>
                <w:color w:val="auto"/>
              </w:rPr>
              <w:t>社会效益</w:t>
            </w: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保障单位各项工作的正常开展</w:t>
            </w:r>
          </w:p>
        </w:tc>
        <w:tc>
          <w:tcPr>
            <w:tcW w:w="1992" w:type="dxa"/>
            <w:shd w:val="clear" w:color="auto" w:fill="auto"/>
            <w:tcMar>
              <w:top w:w="12" w:type="dxa"/>
              <w:left w:w="12" w:type="dxa"/>
              <w:right w:w="12" w:type="dxa"/>
            </w:tcMar>
            <w:vAlign w:val="center"/>
          </w:tcPr>
          <w:p>
            <w:pPr>
              <w:pStyle w:val="26"/>
              <w:rPr>
                <w:rFonts w:hint="eastAsia" w:eastAsia="仿宋_GB2312"/>
                <w:color w:val="auto"/>
                <w:lang w:val="en-US" w:eastAsia="zh-CN"/>
              </w:rPr>
            </w:pPr>
            <w:r>
              <w:rPr>
                <w:rFonts w:hint="eastAsia"/>
                <w:color w:val="auto"/>
                <w:lang w:val="en-US" w:eastAsia="zh-CN"/>
              </w:rPr>
              <w:t>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shd w:val="clear" w:color="auto" w:fill="auto"/>
            <w:tcMar>
              <w:top w:w="12" w:type="dxa"/>
              <w:left w:w="12" w:type="dxa"/>
              <w:right w:w="12" w:type="dxa"/>
            </w:tcMar>
            <w:vAlign w:val="center"/>
          </w:tcPr>
          <w:p>
            <w:pPr>
              <w:pStyle w:val="26"/>
              <w:rPr>
                <w:rFonts w:hint="eastAsia"/>
                <w:color w:val="auto"/>
              </w:rPr>
            </w:pPr>
            <w:r>
              <w:rPr>
                <w:rFonts w:hint="eastAsia"/>
                <w:color w:val="auto"/>
              </w:rPr>
              <w:t>服务对象满意度</w:t>
            </w: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单位工作人员的满意度</w:t>
            </w:r>
          </w:p>
        </w:tc>
        <w:tc>
          <w:tcPr>
            <w:tcW w:w="1992" w:type="dxa"/>
            <w:shd w:val="clear" w:color="auto" w:fill="auto"/>
            <w:tcMar>
              <w:top w:w="12" w:type="dxa"/>
              <w:left w:w="12" w:type="dxa"/>
              <w:right w:w="12" w:type="dxa"/>
            </w:tcMar>
            <w:vAlign w:val="center"/>
          </w:tcPr>
          <w:p>
            <w:pPr>
              <w:pStyle w:val="26"/>
              <w:rPr>
                <w:rFonts w:hint="default" w:eastAsia="仿宋_GB2312"/>
                <w:color w:val="auto"/>
                <w:lang w:val="en-US" w:eastAsia="zh-CN"/>
              </w:rPr>
            </w:pPr>
            <w:r>
              <w:rPr>
                <w:rFonts w:hint="eastAsia"/>
                <w:color w:val="auto"/>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restart"/>
            <w:shd w:val="clear" w:color="auto" w:fill="auto"/>
            <w:tcMar>
              <w:top w:w="12" w:type="dxa"/>
              <w:left w:w="12" w:type="dxa"/>
              <w:right w:w="12" w:type="dxa"/>
            </w:tcMar>
            <w:vAlign w:val="center"/>
          </w:tcPr>
          <w:p>
            <w:pPr>
              <w:pStyle w:val="26"/>
              <w:rPr>
                <w:rFonts w:hint="eastAsia"/>
                <w:color w:val="auto"/>
              </w:rPr>
            </w:pPr>
            <w:r>
              <w:rPr>
                <w:rFonts w:hint="eastAsia"/>
                <w:color w:val="auto"/>
              </w:rPr>
              <w:t>影响力指标</w:t>
            </w:r>
          </w:p>
        </w:tc>
        <w:tc>
          <w:tcPr>
            <w:tcW w:w="2278" w:type="dxa"/>
            <w:vMerge w:val="restart"/>
            <w:shd w:val="clear" w:color="auto" w:fill="auto"/>
            <w:tcMar>
              <w:top w:w="12" w:type="dxa"/>
              <w:left w:w="12" w:type="dxa"/>
              <w:right w:w="12" w:type="dxa"/>
            </w:tcMar>
            <w:vAlign w:val="center"/>
          </w:tcPr>
          <w:p>
            <w:pPr>
              <w:pStyle w:val="26"/>
              <w:rPr>
                <w:rFonts w:hint="eastAsia"/>
                <w:color w:val="auto"/>
              </w:rPr>
            </w:pPr>
            <w:r>
              <w:rPr>
                <w:rFonts w:hint="eastAsia"/>
                <w:color w:val="auto"/>
              </w:rPr>
              <w:t>长效管理</w:t>
            </w:r>
          </w:p>
        </w:tc>
        <w:tc>
          <w:tcPr>
            <w:tcW w:w="2844" w:type="dxa"/>
            <w:shd w:val="clear" w:color="auto" w:fill="auto"/>
            <w:tcMar>
              <w:top w:w="12" w:type="dxa"/>
              <w:left w:w="12" w:type="dxa"/>
              <w:right w:w="12" w:type="dxa"/>
            </w:tcMar>
            <w:vAlign w:val="center"/>
          </w:tcPr>
          <w:p>
            <w:pPr>
              <w:pStyle w:val="26"/>
              <w:rPr>
                <w:rFonts w:hint="eastAsia" w:eastAsia="仿宋_GB2312"/>
                <w:color w:val="auto"/>
                <w:lang w:val="en-US" w:eastAsia="zh-CN"/>
              </w:rPr>
            </w:pPr>
            <w:r>
              <w:rPr>
                <w:rFonts w:hint="eastAsia"/>
                <w:color w:val="auto"/>
              </w:rPr>
              <w:t>信息公开机制</w:t>
            </w:r>
            <w:r>
              <w:rPr>
                <w:rFonts w:hint="eastAsia"/>
                <w:color w:val="auto"/>
                <w:lang w:val="en-US" w:eastAsia="zh-CN"/>
              </w:rPr>
              <w:t>健全性</w:t>
            </w:r>
          </w:p>
        </w:tc>
        <w:tc>
          <w:tcPr>
            <w:tcW w:w="1992" w:type="dxa"/>
            <w:shd w:val="clear" w:color="auto" w:fill="auto"/>
            <w:tcMar>
              <w:top w:w="12" w:type="dxa"/>
              <w:left w:w="12" w:type="dxa"/>
              <w:right w:w="12" w:type="dxa"/>
            </w:tcMar>
            <w:vAlign w:val="center"/>
          </w:tcPr>
          <w:p>
            <w:pPr>
              <w:pStyle w:val="26"/>
              <w:rPr>
                <w:rFonts w:hint="eastAsia" w:eastAsia="仿宋_GB2312"/>
                <w:color w:val="auto"/>
                <w:lang w:val="en-US" w:eastAsia="zh-CN"/>
              </w:rPr>
            </w:pPr>
            <w:r>
              <w:rPr>
                <w:rFonts w:hint="eastAsia"/>
                <w:color w:val="auto"/>
                <w:lang w:val="en-US" w:eastAsia="zh-CN"/>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rFonts w:hint="eastAsia"/>
                <w:color w:val="auto"/>
              </w:rPr>
            </w:pPr>
          </w:p>
        </w:tc>
        <w:tc>
          <w:tcPr>
            <w:tcW w:w="2844" w:type="dxa"/>
            <w:shd w:val="clear" w:color="auto" w:fill="auto"/>
            <w:tcMar>
              <w:top w:w="12" w:type="dxa"/>
              <w:left w:w="12" w:type="dxa"/>
              <w:right w:w="12" w:type="dxa"/>
            </w:tcMar>
            <w:vAlign w:val="center"/>
          </w:tcPr>
          <w:p>
            <w:pPr>
              <w:pStyle w:val="26"/>
              <w:rPr>
                <w:rFonts w:hint="eastAsia" w:eastAsia="仿宋_GB2312"/>
                <w:color w:val="auto"/>
                <w:lang w:val="en-US" w:eastAsia="zh-CN"/>
              </w:rPr>
            </w:pPr>
            <w:r>
              <w:rPr>
                <w:rFonts w:hint="eastAsia"/>
                <w:color w:val="auto"/>
              </w:rPr>
              <w:t>长效管理机制</w:t>
            </w:r>
            <w:r>
              <w:rPr>
                <w:rFonts w:hint="eastAsia"/>
                <w:color w:val="auto"/>
                <w:lang w:val="en-US" w:eastAsia="zh-CN"/>
              </w:rPr>
              <w:t>健全性</w:t>
            </w:r>
          </w:p>
        </w:tc>
        <w:tc>
          <w:tcPr>
            <w:tcW w:w="1992" w:type="dxa"/>
            <w:shd w:val="clear" w:color="auto" w:fill="auto"/>
            <w:tcMar>
              <w:top w:w="12" w:type="dxa"/>
              <w:left w:w="12" w:type="dxa"/>
              <w:right w:w="12" w:type="dxa"/>
            </w:tcMar>
            <w:vAlign w:val="center"/>
          </w:tcPr>
          <w:p>
            <w:pPr>
              <w:pStyle w:val="26"/>
              <w:rPr>
                <w:rFonts w:hint="eastAsia" w:eastAsia="仿宋_GB2312"/>
                <w:color w:val="auto"/>
                <w:lang w:val="en-US" w:eastAsia="zh-CN"/>
              </w:rPr>
            </w:pPr>
            <w:r>
              <w:rPr>
                <w:rFonts w:hint="eastAsia"/>
                <w:color w:val="auto"/>
                <w:lang w:val="en-US" w:eastAsia="zh-CN"/>
              </w:rPr>
              <w:t>健全</w:t>
            </w:r>
          </w:p>
        </w:tc>
      </w:tr>
    </w:tbl>
    <w:p>
      <w:pPr>
        <w:pStyle w:val="24"/>
        <w:outlineLvl w:val="0"/>
      </w:pPr>
      <w:bookmarkStart w:id="28" w:name="_Toc30408"/>
      <w:bookmarkStart w:id="29" w:name="_Toc76133029"/>
      <w:bookmarkStart w:id="30" w:name="_Toc77065987"/>
      <w:bookmarkStart w:id="31" w:name="_Toc76132243"/>
      <w:r>
        <w:rPr>
          <w:rFonts w:hint="eastAsia"/>
        </w:rPr>
        <w:t>评价基本情况</w:t>
      </w:r>
      <w:bookmarkEnd w:id="28"/>
      <w:bookmarkEnd w:id="29"/>
      <w:bookmarkEnd w:id="30"/>
      <w:bookmarkEnd w:id="31"/>
    </w:p>
    <w:p>
      <w:pPr>
        <w:pStyle w:val="25"/>
        <w:outlineLvl w:val="1"/>
      </w:pPr>
      <w:bookmarkStart w:id="32" w:name="_Toc76133030"/>
      <w:bookmarkStart w:id="33" w:name="_Toc76132244"/>
      <w:bookmarkStart w:id="34" w:name="_Toc12213"/>
      <w:bookmarkStart w:id="35" w:name="_Toc77065988"/>
      <w:r>
        <w:rPr>
          <w:rFonts w:hint="eastAsia"/>
        </w:rPr>
        <w:t>绩效评价原则和依据</w:t>
      </w:r>
      <w:bookmarkEnd w:id="32"/>
      <w:bookmarkEnd w:id="33"/>
      <w:bookmarkEnd w:id="34"/>
      <w:bookmarkEnd w:id="35"/>
    </w:p>
    <w:p>
      <w:pPr>
        <w:pStyle w:val="23"/>
        <w:ind w:firstLine="643"/>
        <w:rPr>
          <w:b/>
          <w:bCs/>
        </w:rPr>
      </w:pPr>
      <w:r>
        <w:rPr>
          <w:rFonts w:hint="eastAsia"/>
          <w:b/>
          <w:bCs/>
        </w:rPr>
        <w:t>1.评价原则</w:t>
      </w:r>
    </w:p>
    <w:p>
      <w:pPr>
        <w:pStyle w:val="23"/>
        <w:ind w:left="0" w:leftChars="0" w:firstLine="640" w:firstLineChars="200"/>
        <w:rPr>
          <w:rFonts w:hint="eastAsia"/>
        </w:rPr>
      </w:pPr>
      <w:r>
        <w:rPr>
          <w:rFonts w:hint="eastAsia"/>
        </w:rPr>
        <w:t>（1）依法合规</w:t>
      </w:r>
    </w:p>
    <w:p>
      <w:pPr>
        <w:tabs>
          <w:tab w:val="left" w:pos="901"/>
        </w:tabs>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以相关法律、法规、规章以及国家、省、市有关文件政策等为依据，结合“部门职责—工作活动”以及部门事业发展规划，依法合规进行。</w:t>
      </w:r>
    </w:p>
    <w:p>
      <w:pPr>
        <w:pStyle w:val="23"/>
      </w:pPr>
      <w:r>
        <w:rPr>
          <w:rFonts w:hint="eastAsia"/>
        </w:rPr>
        <w:t>（2）真实全面</w:t>
      </w:r>
    </w:p>
    <w:p>
      <w:pPr>
        <w:pStyle w:val="23"/>
      </w:pPr>
      <w:r>
        <w:rPr>
          <w:rFonts w:hint="eastAsia"/>
        </w:rPr>
        <w:t>围绕项目绩效目标明确性、项目立项必要性、资金分配合理性、财务管理及项目管理有效性、项目绩效达成情况等方面，真实全面的开展绩效评价。</w:t>
      </w:r>
    </w:p>
    <w:p>
      <w:pPr>
        <w:pStyle w:val="23"/>
      </w:pPr>
      <w:r>
        <w:rPr>
          <w:rFonts w:hint="eastAsia"/>
        </w:rPr>
        <w:t>（3）客观公正</w:t>
      </w:r>
    </w:p>
    <w:p>
      <w:pPr>
        <w:pStyle w:val="23"/>
      </w:pPr>
      <w:r>
        <w:rPr>
          <w:rFonts w:hint="eastAsia"/>
        </w:rPr>
        <w:t>在评价过程中，收集相关文件及资料，并通过现场调研，查阅资料、专家咨询、问卷调查等为评价结论提供充分的依据支持，确保评价结果的客观公正。</w:t>
      </w:r>
    </w:p>
    <w:p>
      <w:pPr>
        <w:pStyle w:val="23"/>
      </w:pPr>
      <w:r>
        <w:rPr>
          <w:rFonts w:hint="eastAsia"/>
        </w:rPr>
        <w:t>（4）科学规范</w:t>
      </w:r>
    </w:p>
    <w:p>
      <w:pPr>
        <w:pStyle w:val="23"/>
      </w:pPr>
      <w:r>
        <w:rPr>
          <w:rFonts w:hint="eastAsia"/>
        </w:rPr>
        <w:t>通过规范的程序，采用定性与定量相结合的方法，通过多种途径和手段充分收集证据资料，保证评价结论依据充分。</w:t>
      </w:r>
    </w:p>
    <w:p>
      <w:pPr>
        <w:pStyle w:val="23"/>
        <w:ind w:left="0" w:leftChars="0" w:firstLine="643" w:firstLineChars="200"/>
        <w:rPr>
          <w:b/>
          <w:bCs/>
        </w:rPr>
      </w:pPr>
      <w:r>
        <w:rPr>
          <w:rFonts w:hint="eastAsia"/>
          <w:b/>
          <w:bCs/>
        </w:rPr>
        <w:t>2.评价依据</w:t>
      </w:r>
    </w:p>
    <w:p>
      <w:pPr>
        <w:pStyle w:val="23"/>
      </w:pPr>
      <w:r>
        <w:rPr>
          <w:rFonts w:hint="eastAsia"/>
          <w:lang w:eastAsia="zh-CN"/>
        </w:rPr>
        <w:t>（</w:t>
      </w:r>
      <w:r>
        <w:rPr>
          <w:rFonts w:hint="eastAsia"/>
          <w:lang w:val="en-US" w:eastAsia="zh-CN"/>
        </w:rPr>
        <w:t>1）</w:t>
      </w:r>
      <w:r>
        <w:rPr>
          <w:rFonts w:hint="eastAsia"/>
        </w:rPr>
        <w:t>《中共中央国务院关于全面实施预算绩效管理的意见》（中发〔2018〕34号）</w:t>
      </w:r>
    </w:p>
    <w:p>
      <w:pPr>
        <w:pStyle w:val="23"/>
      </w:pPr>
      <w:r>
        <w:rPr>
          <w:rFonts w:hint="eastAsia"/>
        </w:rPr>
        <w:t>（2）《甘肃省财政厅关于开展</w:t>
      </w:r>
      <w:r>
        <w:rPr>
          <w:rFonts w:hint="eastAsia"/>
          <w:lang w:eastAsia="zh-CN"/>
        </w:rPr>
        <w:t>2021</w:t>
      </w:r>
      <w:r>
        <w:rPr>
          <w:rFonts w:hint="eastAsia"/>
        </w:rPr>
        <w:t>年度省级预算执行情况绩效部门评价和财政评价工作的通知》（甘财绩〔202</w:t>
      </w:r>
      <w:r>
        <w:rPr>
          <w:rFonts w:hint="eastAsia"/>
          <w:lang w:val="en-US" w:eastAsia="zh-CN"/>
        </w:rPr>
        <w:t>2</w:t>
      </w:r>
      <w:r>
        <w:rPr>
          <w:rFonts w:hint="eastAsia"/>
        </w:rPr>
        <w:t>〕4号）</w:t>
      </w:r>
    </w:p>
    <w:p>
      <w:pPr>
        <w:pStyle w:val="23"/>
        <w:ind w:firstLine="640"/>
        <w:rPr>
          <w:rFonts w:hint="eastAsia" w:ascii="Times New Roman" w:hAnsi="Times New Roman"/>
        </w:rPr>
      </w:pPr>
      <w:r>
        <w:rPr>
          <w:rFonts w:hint="eastAsia"/>
          <w:lang w:val="en-US" w:eastAsia="zh-CN"/>
        </w:rPr>
        <w:t>（3）</w:t>
      </w:r>
      <w:r>
        <w:rPr>
          <w:rFonts w:hint="eastAsia" w:ascii="Times New Roman" w:hAnsi="Times New Roman"/>
        </w:rPr>
        <w:t>《甘肃省人大常委会机关财务管理办法》</w:t>
      </w:r>
    </w:p>
    <w:p>
      <w:pPr>
        <w:pStyle w:val="23"/>
        <w:ind w:firstLine="640"/>
        <w:rPr>
          <w:rFonts w:hint="default"/>
          <w:color w:val="FF0000"/>
          <w:lang w:val="en-US" w:eastAsia="zh-CN"/>
        </w:rPr>
      </w:pPr>
      <w:r>
        <w:rPr>
          <w:rFonts w:hint="eastAsia"/>
          <w:lang w:val="en-US" w:eastAsia="zh-CN"/>
        </w:rPr>
        <w:t>（4）</w:t>
      </w:r>
      <w:r>
        <w:rPr>
          <w:rFonts w:hint="eastAsia" w:ascii="Times New Roman" w:hAnsi="Times New Roman"/>
        </w:rPr>
        <w:t>《甘肃省人大常委会机关固定资产管理办法》</w:t>
      </w:r>
    </w:p>
    <w:p>
      <w:pPr>
        <w:pStyle w:val="25"/>
        <w:outlineLvl w:val="1"/>
      </w:pPr>
      <w:bookmarkStart w:id="36" w:name="_Toc76133031"/>
      <w:bookmarkStart w:id="37" w:name="_Toc14243"/>
      <w:bookmarkStart w:id="38" w:name="_Toc76132245"/>
      <w:bookmarkStart w:id="39" w:name="_Toc77065989"/>
      <w:r>
        <w:rPr>
          <w:rFonts w:hint="eastAsia"/>
        </w:rPr>
        <w:t>评价指标体系</w:t>
      </w:r>
      <w:bookmarkEnd w:id="36"/>
      <w:bookmarkEnd w:id="37"/>
      <w:bookmarkEnd w:id="38"/>
      <w:bookmarkEnd w:id="39"/>
    </w:p>
    <w:p>
      <w:pPr>
        <w:pStyle w:val="27"/>
        <w:spacing w:line="240" w:lineRule="auto"/>
        <w:rPr>
          <w:rFonts w:ascii="仿宋_GB2312" w:hAnsi="Times New Roman" w:cs="Times New Roman"/>
          <w:kern w:val="2"/>
          <w:sz w:val="32"/>
          <w:szCs w:val="32"/>
        </w:rPr>
      </w:pPr>
      <w:r>
        <w:rPr>
          <w:rFonts w:hint="eastAsia" w:ascii="仿宋_GB2312" w:hAnsi="Times New Roman" w:cs="Times New Roman"/>
          <w:kern w:val="2"/>
          <w:sz w:val="32"/>
          <w:szCs w:val="32"/>
        </w:rPr>
        <w:t>根据绩效评价的基本原理、原则和项目特点，结合绩效目标，按照逻辑分析法设计评价指标体系，包括项目决策、项目管理、项目绩效三部分内容，体现从项目本身、执行到效果的逻辑路径。</w:t>
      </w:r>
    </w:p>
    <w:p>
      <w:pPr>
        <w:pStyle w:val="27"/>
        <w:spacing w:line="240" w:lineRule="auto"/>
        <w:rPr>
          <w:rFonts w:ascii="仿宋_GB2312" w:hAnsi="Times New Roman" w:cs="Times New Roman"/>
          <w:kern w:val="2"/>
          <w:sz w:val="32"/>
          <w:szCs w:val="32"/>
        </w:rPr>
      </w:pPr>
      <w:r>
        <w:rPr>
          <w:rFonts w:hint="eastAsia" w:ascii="仿宋_GB2312" w:hAnsi="Times New Roman" w:cs="Times New Roman"/>
          <w:kern w:val="2"/>
          <w:sz w:val="32"/>
          <w:szCs w:val="32"/>
        </w:rPr>
        <w:t>指标体系包括3个一级指标、8个二级指标和</w:t>
      </w:r>
      <w:r>
        <w:rPr>
          <w:rFonts w:hint="eastAsia" w:ascii="仿宋_GB2312" w:hAnsi="Times New Roman" w:cs="Times New Roman"/>
          <w:color w:val="auto"/>
          <w:kern w:val="2"/>
          <w:sz w:val="32"/>
          <w:szCs w:val="32"/>
        </w:rPr>
        <w:t>20个三</w:t>
      </w:r>
      <w:r>
        <w:rPr>
          <w:rFonts w:hint="eastAsia" w:ascii="仿宋_GB2312" w:hAnsi="Times New Roman" w:cs="Times New Roman"/>
          <w:kern w:val="2"/>
          <w:sz w:val="32"/>
          <w:szCs w:val="32"/>
        </w:rPr>
        <w:t>级指标。指标数据来源于政府文件、信息采集表、问卷调查、访谈等。指标标准值来源于项目绩效目标、行业标准、通用标准。具体评价指标体系见表2-1。</w:t>
      </w:r>
    </w:p>
    <w:p>
      <w:pPr>
        <w:pStyle w:val="26"/>
        <w:rPr>
          <w:b/>
          <w:bCs/>
          <w:sz w:val="28"/>
          <w:szCs w:val="24"/>
        </w:rPr>
      </w:pPr>
      <w:r>
        <w:rPr>
          <w:b/>
          <w:bCs/>
          <w:sz w:val="28"/>
          <w:szCs w:val="24"/>
        </w:rPr>
        <w:t>表</w:t>
      </w:r>
      <w:r>
        <w:rPr>
          <w:rFonts w:hint="eastAsia"/>
          <w:b/>
          <w:bCs/>
          <w:sz w:val="28"/>
          <w:szCs w:val="24"/>
        </w:rPr>
        <w:t>2</w:t>
      </w:r>
      <w:r>
        <w:rPr>
          <w:b/>
          <w:bCs/>
          <w:sz w:val="28"/>
          <w:szCs w:val="24"/>
        </w:rPr>
        <w:t>-1评价指标体系</w:t>
      </w:r>
    </w:p>
    <w:tbl>
      <w:tblPr>
        <w:tblStyle w:val="14"/>
        <w:tblW w:w="8604" w:type="dxa"/>
        <w:tblInd w:w="0" w:type="dxa"/>
        <w:tblLayout w:type="fixed"/>
        <w:tblCellMar>
          <w:top w:w="0" w:type="dxa"/>
          <w:left w:w="108" w:type="dxa"/>
          <w:bottom w:w="0" w:type="dxa"/>
          <w:right w:w="108" w:type="dxa"/>
        </w:tblCellMar>
      </w:tblPr>
      <w:tblGrid>
        <w:gridCol w:w="1897"/>
        <w:gridCol w:w="1838"/>
        <w:gridCol w:w="2282"/>
        <w:gridCol w:w="1174"/>
        <w:gridCol w:w="1413"/>
      </w:tblGrid>
      <w:tr>
        <w:tblPrEx>
          <w:tblLayout w:type="fixed"/>
          <w:tblCellMar>
            <w:top w:w="0" w:type="dxa"/>
            <w:left w:w="108" w:type="dxa"/>
            <w:bottom w:w="0" w:type="dxa"/>
            <w:right w:w="108" w:type="dxa"/>
          </w:tblCellMar>
        </w:tblPrEx>
        <w:trPr>
          <w:trHeight w:val="288" w:hRule="atLeast"/>
          <w:tblHeader/>
        </w:trPr>
        <w:tc>
          <w:tcPr>
            <w:tcW w:w="189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b/>
                <w:bCs/>
              </w:rPr>
            </w:pPr>
            <w:r>
              <w:rPr>
                <w:b/>
                <w:bCs/>
              </w:rPr>
              <w:t>一级指标</w:t>
            </w:r>
          </w:p>
        </w:tc>
        <w:tc>
          <w:tcPr>
            <w:tcW w:w="1838" w:type="dxa"/>
            <w:tcBorders>
              <w:top w:val="single" w:color="auto" w:sz="4" w:space="0"/>
              <w:left w:val="nil"/>
              <w:bottom w:val="single" w:color="auto" w:sz="4" w:space="0"/>
              <w:right w:val="single" w:color="auto" w:sz="4" w:space="0"/>
            </w:tcBorders>
            <w:shd w:val="clear" w:color="auto" w:fill="auto"/>
            <w:vAlign w:val="center"/>
          </w:tcPr>
          <w:p>
            <w:pPr>
              <w:pStyle w:val="26"/>
              <w:rPr>
                <w:b/>
                <w:bCs/>
              </w:rPr>
            </w:pPr>
            <w:r>
              <w:rPr>
                <w:b/>
                <w:bCs/>
              </w:rPr>
              <w:t>二级指标</w:t>
            </w:r>
          </w:p>
        </w:tc>
        <w:tc>
          <w:tcPr>
            <w:tcW w:w="2282" w:type="dxa"/>
            <w:tcBorders>
              <w:top w:val="single" w:color="auto" w:sz="4" w:space="0"/>
              <w:left w:val="nil"/>
              <w:bottom w:val="single" w:color="auto" w:sz="4" w:space="0"/>
              <w:right w:val="single" w:color="auto" w:sz="4" w:space="0"/>
            </w:tcBorders>
            <w:shd w:val="clear" w:color="auto" w:fill="auto"/>
            <w:vAlign w:val="center"/>
          </w:tcPr>
          <w:p>
            <w:pPr>
              <w:pStyle w:val="26"/>
              <w:rPr>
                <w:b/>
                <w:bCs/>
              </w:rPr>
            </w:pPr>
            <w:r>
              <w:rPr>
                <w:b/>
                <w:bCs/>
              </w:rPr>
              <w:t>三级指标</w:t>
            </w:r>
          </w:p>
        </w:tc>
        <w:tc>
          <w:tcPr>
            <w:tcW w:w="1174" w:type="dxa"/>
            <w:tcBorders>
              <w:top w:val="single" w:color="auto" w:sz="4" w:space="0"/>
              <w:left w:val="nil"/>
              <w:bottom w:val="single" w:color="auto" w:sz="4" w:space="0"/>
              <w:right w:val="single" w:color="auto" w:sz="4" w:space="0"/>
            </w:tcBorders>
            <w:shd w:val="clear" w:color="auto" w:fill="auto"/>
            <w:vAlign w:val="center"/>
          </w:tcPr>
          <w:p>
            <w:pPr>
              <w:pStyle w:val="26"/>
              <w:rPr>
                <w:b/>
                <w:bCs/>
              </w:rPr>
            </w:pPr>
            <w:r>
              <w:rPr>
                <w:b/>
                <w:bCs/>
              </w:rPr>
              <w:t>权重</w:t>
            </w:r>
          </w:p>
        </w:tc>
        <w:tc>
          <w:tcPr>
            <w:tcW w:w="1413" w:type="dxa"/>
            <w:tcBorders>
              <w:top w:val="single" w:color="auto" w:sz="4" w:space="0"/>
              <w:left w:val="nil"/>
              <w:bottom w:val="single" w:color="auto" w:sz="4" w:space="0"/>
              <w:right w:val="single" w:color="auto" w:sz="4" w:space="0"/>
            </w:tcBorders>
            <w:shd w:val="clear" w:color="auto" w:fill="auto"/>
            <w:vAlign w:val="center"/>
          </w:tcPr>
          <w:p>
            <w:pPr>
              <w:pStyle w:val="26"/>
              <w:rPr>
                <w:b/>
                <w:bCs/>
              </w:rPr>
            </w:pPr>
            <w:r>
              <w:rPr>
                <w:b/>
                <w:bCs/>
              </w:rPr>
              <w:t>标杆值</w:t>
            </w:r>
          </w:p>
        </w:tc>
      </w:tr>
      <w:tr>
        <w:tblPrEx>
          <w:tblLayout w:type="fixed"/>
          <w:tblCellMar>
            <w:top w:w="0" w:type="dxa"/>
            <w:left w:w="108" w:type="dxa"/>
            <w:bottom w:w="0" w:type="dxa"/>
            <w:right w:w="108" w:type="dxa"/>
          </w:tblCellMar>
        </w:tblPrEx>
        <w:trPr>
          <w:trHeight w:val="288" w:hRule="atLeast"/>
        </w:trPr>
        <w:tc>
          <w:tcPr>
            <w:tcW w:w="1897" w:type="dxa"/>
            <w:vMerge w:val="restart"/>
            <w:tcBorders>
              <w:top w:val="nil"/>
              <w:left w:val="single" w:color="auto" w:sz="4" w:space="0"/>
              <w:bottom w:val="single" w:color="auto" w:sz="4" w:space="0"/>
              <w:right w:val="single" w:color="auto" w:sz="4" w:space="0"/>
            </w:tcBorders>
            <w:shd w:val="clear" w:color="auto" w:fill="auto"/>
            <w:vAlign w:val="center"/>
          </w:tcPr>
          <w:p>
            <w:pPr>
              <w:pStyle w:val="26"/>
            </w:pPr>
            <w:r>
              <w:t>项目决策（20）</w:t>
            </w:r>
          </w:p>
        </w:tc>
        <w:tc>
          <w:tcPr>
            <w:tcW w:w="1838" w:type="dxa"/>
            <w:tcBorders>
              <w:top w:val="nil"/>
              <w:left w:val="nil"/>
              <w:bottom w:val="single" w:color="auto" w:sz="4" w:space="0"/>
              <w:right w:val="single" w:color="auto" w:sz="4" w:space="0"/>
            </w:tcBorders>
            <w:shd w:val="clear" w:color="auto" w:fill="auto"/>
            <w:vAlign w:val="center"/>
          </w:tcPr>
          <w:p>
            <w:pPr>
              <w:pStyle w:val="26"/>
            </w:pPr>
            <w:r>
              <w:t>项目目标（4）</w:t>
            </w:r>
          </w:p>
        </w:tc>
        <w:tc>
          <w:tcPr>
            <w:tcW w:w="2282" w:type="dxa"/>
            <w:tcBorders>
              <w:top w:val="nil"/>
              <w:left w:val="nil"/>
              <w:bottom w:val="single" w:color="auto" w:sz="4" w:space="0"/>
              <w:right w:val="single" w:color="auto" w:sz="4" w:space="0"/>
            </w:tcBorders>
            <w:shd w:val="clear" w:color="auto" w:fill="auto"/>
            <w:vAlign w:val="center"/>
          </w:tcPr>
          <w:p>
            <w:pPr>
              <w:pStyle w:val="26"/>
            </w:pPr>
            <w:r>
              <w:t>目标内容</w:t>
            </w:r>
          </w:p>
        </w:tc>
        <w:tc>
          <w:tcPr>
            <w:tcW w:w="1174" w:type="dxa"/>
            <w:tcBorders>
              <w:top w:val="nil"/>
              <w:left w:val="nil"/>
              <w:bottom w:val="single" w:color="auto" w:sz="4" w:space="0"/>
              <w:right w:val="single" w:color="auto" w:sz="4" w:space="0"/>
            </w:tcBorders>
            <w:shd w:val="clear" w:color="auto" w:fill="auto"/>
            <w:vAlign w:val="center"/>
          </w:tcPr>
          <w:p>
            <w:pPr>
              <w:pStyle w:val="26"/>
            </w:pPr>
            <w:r>
              <w:t>4</w:t>
            </w:r>
          </w:p>
        </w:tc>
        <w:tc>
          <w:tcPr>
            <w:tcW w:w="1413" w:type="dxa"/>
            <w:tcBorders>
              <w:top w:val="nil"/>
              <w:left w:val="nil"/>
              <w:bottom w:val="single" w:color="auto" w:sz="4" w:space="0"/>
              <w:right w:val="single" w:color="auto" w:sz="4" w:space="0"/>
            </w:tcBorders>
            <w:shd w:val="clear" w:color="auto" w:fill="auto"/>
            <w:vAlign w:val="center"/>
          </w:tcPr>
          <w:p>
            <w:pPr>
              <w:pStyle w:val="26"/>
            </w:pPr>
            <w:r>
              <w:t>明确</w:t>
            </w:r>
          </w:p>
        </w:tc>
      </w:tr>
      <w:tr>
        <w:tblPrEx>
          <w:tblLayout w:type="fixed"/>
          <w:tblCellMar>
            <w:top w:w="0" w:type="dxa"/>
            <w:left w:w="108" w:type="dxa"/>
            <w:bottom w:w="0" w:type="dxa"/>
            <w:right w:w="108" w:type="dxa"/>
          </w:tblCellMar>
        </w:tblPrEx>
        <w:trPr>
          <w:trHeight w:val="288" w:hRule="atLeast"/>
        </w:trPr>
        <w:tc>
          <w:tcPr>
            <w:tcW w:w="1897" w:type="dxa"/>
            <w:vMerge w:val="continue"/>
            <w:tcBorders>
              <w:top w:val="nil"/>
              <w:left w:val="single" w:color="auto" w:sz="4" w:space="0"/>
              <w:bottom w:val="single" w:color="auto" w:sz="4" w:space="0"/>
              <w:right w:val="single" w:color="auto" w:sz="4" w:space="0"/>
            </w:tcBorders>
            <w:vAlign w:val="center"/>
          </w:tcPr>
          <w:p>
            <w:pPr>
              <w:pStyle w:val="26"/>
            </w:pPr>
          </w:p>
        </w:tc>
        <w:tc>
          <w:tcPr>
            <w:tcW w:w="1838" w:type="dxa"/>
            <w:vMerge w:val="restart"/>
            <w:tcBorders>
              <w:top w:val="nil"/>
              <w:left w:val="single" w:color="auto" w:sz="4" w:space="0"/>
              <w:bottom w:val="single" w:color="auto" w:sz="4" w:space="0"/>
              <w:right w:val="single" w:color="auto" w:sz="4" w:space="0"/>
            </w:tcBorders>
            <w:shd w:val="clear" w:color="auto" w:fill="auto"/>
            <w:vAlign w:val="center"/>
          </w:tcPr>
          <w:p>
            <w:pPr>
              <w:pStyle w:val="26"/>
            </w:pPr>
            <w:r>
              <w:t>决策过程（8）</w:t>
            </w:r>
          </w:p>
        </w:tc>
        <w:tc>
          <w:tcPr>
            <w:tcW w:w="2282" w:type="dxa"/>
            <w:tcBorders>
              <w:top w:val="nil"/>
              <w:left w:val="nil"/>
              <w:bottom w:val="single" w:color="auto" w:sz="4" w:space="0"/>
              <w:right w:val="single" w:color="auto" w:sz="4" w:space="0"/>
            </w:tcBorders>
            <w:shd w:val="clear" w:color="auto" w:fill="auto"/>
            <w:vAlign w:val="center"/>
          </w:tcPr>
          <w:p>
            <w:pPr>
              <w:pStyle w:val="26"/>
            </w:pPr>
            <w:r>
              <w:t>决策依据</w:t>
            </w:r>
          </w:p>
        </w:tc>
        <w:tc>
          <w:tcPr>
            <w:tcW w:w="1174" w:type="dxa"/>
            <w:tcBorders>
              <w:top w:val="nil"/>
              <w:left w:val="nil"/>
              <w:bottom w:val="single" w:color="auto" w:sz="4" w:space="0"/>
              <w:right w:val="single" w:color="auto" w:sz="4" w:space="0"/>
            </w:tcBorders>
            <w:shd w:val="clear" w:color="auto" w:fill="auto"/>
            <w:vAlign w:val="center"/>
          </w:tcPr>
          <w:p>
            <w:pPr>
              <w:pStyle w:val="26"/>
            </w:pPr>
            <w:r>
              <w:t>3</w:t>
            </w:r>
          </w:p>
        </w:tc>
        <w:tc>
          <w:tcPr>
            <w:tcW w:w="1413" w:type="dxa"/>
            <w:tcBorders>
              <w:top w:val="nil"/>
              <w:left w:val="nil"/>
              <w:bottom w:val="single" w:color="auto" w:sz="4" w:space="0"/>
              <w:right w:val="single" w:color="auto" w:sz="4" w:space="0"/>
            </w:tcBorders>
            <w:shd w:val="clear" w:color="auto" w:fill="auto"/>
            <w:vAlign w:val="center"/>
          </w:tcPr>
          <w:p>
            <w:pPr>
              <w:pStyle w:val="26"/>
            </w:pPr>
            <w:r>
              <w:t>充分</w:t>
            </w:r>
          </w:p>
        </w:tc>
      </w:tr>
      <w:tr>
        <w:tblPrEx>
          <w:tblLayout w:type="fixed"/>
          <w:tblCellMar>
            <w:top w:w="0" w:type="dxa"/>
            <w:left w:w="108" w:type="dxa"/>
            <w:bottom w:w="0" w:type="dxa"/>
            <w:right w:w="108" w:type="dxa"/>
          </w:tblCellMar>
        </w:tblPrEx>
        <w:trPr>
          <w:trHeight w:val="288" w:hRule="atLeast"/>
        </w:trPr>
        <w:tc>
          <w:tcPr>
            <w:tcW w:w="1897" w:type="dxa"/>
            <w:vMerge w:val="continue"/>
            <w:tcBorders>
              <w:top w:val="nil"/>
              <w:left w:val="single" w:color="auto" w:sz="4" w:space="0"/>
              <w:bottom w:val="single" w:color="auto" w:sz="4" w:space="0"/>
              <w:right w:val="single" w:color="auto" w:sz="4" w:space="0"/>
            </w:tcBorders>
            <w:vAlign w:val="center"/>
          </w:tcPr>
          <w:p>
            <w:pPr>
              <w:pStyle w:val="26"/>
            </w:pPr>
          </w:p>
        </w:tc>
        <w:tc>
          <w:tcPr>
            <w:tcW w:w="1838" w:type="dxa"/>
            <w:vMerge w:val="continue"/>
            <w:tcBorders>
              <w:top w:val="nil"/>
              <w:left w:val="single" w:color="auto" w:sz="4" w:space="0"/>
              <w:bottom w:val="single" w:color="auto" w:sz="4" w:space="0"/>
              <w:right w:val="single" w:color="auto" w:sz="4" w:space="0"/>
            </w:tcBorders>
            <w:vAlign w:val="center"/>
          </w:tcPr>
          <w:p>
            <w:pPr>
              <w:pStyle w:val="26"/>
            </w:pPr>
          </w:p>
        </w:tc>
        <w:tc>
          <w:tcPr>
            <w:tcW w:w="2282" w:type="dxa"/>
            <w:tcBorders>
              <w:top w:val="nil"/>
              <w:left w:val="nil"/>
              <w:bottom w:val="single" w:color="auto" w:sz="4" w:space="0"/>
              <w:right w:val="single" w:color="auto" w:sz="4" w:space="0"/>
            </w:tcBorders>
            <w:shd w:val="clear" w:color="auto" w:fill="auto"/>
            <w:vAlign w:val="center"/>
          </w:tcPr>
          <w:p>
            <w:pPr>
              <w:pStyle w:val="26"/>
            </w:pPr>
            <w:r>
              <w:t>决策程序</w:t>
            </w:r>
          </w:p>
        </w:tc>
        <w:tc>
          <w:tcPr>
            <w:tcW w:w="1174" w:type="dxa"/>
            <w:tcBorders>
              <w:top w:val="nil"/>
              <w:left w:val="nil"/>
              <w:bottom w:val="single" w:color="auto" w:sz="4" w:space="0"/>
              <w:right w:val="single" w:color="auto" w:sz="4" w:space="0"/>
            </w:tcBorders>
            <w:shd w:val="clear" w:color="auto" w:fill="auto"/>
            <w:vAlign w:val="center"/>
          </w:tcPr>
          <w:p>
            <w:pPr>
              <w:pStyle w:val="26"/>
            </w:pPr>
            <w:r>
              <w:t>5</w:t>
            </w:r>
          </w:p>
        </w:tc>
        <w:tc>
          <w:tcPr>
            <w:tcW w:w="1413" w:type="dxa"/>
            <w:tcBorders>
              <w:top w:val="nil"/>
              <w:left w:val="nil"/>
              <w:bottom w:val="single" w:color="auto" w:sz="4" w:space="0"/>
              <w:right w:val="single" w:color="auto" w:sz="4" w:space="0"/>
            </w:tcBorders>
            <w:shd w:val="clear" w:color="auto" w:fill="auto"/>
            <w:vAlign w:val="center"/>
          </w:tcPr>
          <w:p>
            <w:pPr>
              <w:pStyle w:val="26"/>
            </w:pPr>
            <w:r>
              <w:t>规范</w:t>
            </w:r>
          </w:p>
        </w:tc>
      </w:tr>
      <w:tr>
        <w:tblPrEx>
          <w:tblLayout w:type="fixed"/>
          <w:tblCellMar>
            <w:top w:w="0" w:type="dxa"/>
            <w:left w:w="108" w:type="dxa"/>
            <w:bottom w:w="0" w:type="dxa"/>
            <w:right w:w="108" w:type="dxa"/>
          </w:tblCellMar>
        </w:tblPrEx>
        <w:trPr>
          <w:trHeight w:val="288" w:hRule="atLeast"/>
        </w:trPr>
        <w:tc>
          <w:tcPr>
            <w:tcW w:w="1897" w:type="dxa"/>
            <w:vMerge w:val="continue"/>
            <w:tcBorders>
              <w:top w:val="nil"/>
              <w:left w:val="single" w:color="auto" w:sz="4" w:space="0"/>
              <w:bottom w:val="single" w:color="auto" w:sz="4" w:space="0"/>
              <w:right w:val="single" w:color="auto" w:sz="4" w:space="0"/>
            </w:tcBorders>
            <w:vAlign w:val="center"/>
          </w:tcPr>
          <w:p>
            <w:pPr>
              <w:pStyle w:val="26"/>
            </w:pPr>
          </w:p>
        </w:tc>
        <w:tc>
          <w:tcPr>
            <w:tcW w:w="1838" w:type="dxa"/>
            <w:vMerge w:val="restart"/>
            <w:tcBorders>
              <w:top w:val="nil"/>
              <w:left w:val="single" w:color="auto" w:sz="4" w:space="0"/>
              <w:bottom w:val="single" w:color="auto" w:sz="4" w:space="0"/>
              <w:right w:val="single" w:color="auto" w:sz="4" w:space="0"/>
            </w:tcBorders>
            <w:shd w:val="clear" w:color="auto" w:fill="auto"/>
            <w:vAlign w:val="center"/>
          </w:tcPr>
          <w:p>
            <w:pPr>
              <w:pStyle w:val="26"/>
            </w:pPr>
            <w:r>
              <w:t>资金分配（8）</w:t>
            </w:r>
          </w:p>
        </w:tc>
        <w:tc>
          <w:tcPr>
            <w:tcW w:w="2282" w:type="dxa"/>
            <w:tcBorders>
              <w:top w:val="nil"/>
              <w:left w:val="nil"/>
              <w:bottom w:val="single" w:color="auto" w:sz="4" w:space="0"/>
              <w:right w:val="single" w:color="auto" w:sz="4" w:space="0"/>
            </w:tcBorders>
            <w:shd w:val="clear" w:color="auto" w:fill="auto"/>
            <w:vAlign w:val="center"/>
          </w:tcPr>
          <w:p>
            <w:pPr>
              <w:pStyle w:val="26"/>
            </w:pPr>
            <w:r>
              <w:t>分配办法</w:t>
            </w:r>
          </w:p>
        </w:tc>
        <w:tc>
          <w:tcPr>
            <w:tcW w:w="1174" w:type="dxa"/>
            <w:tcBorders>
              <w:top w:val="nil"/>
              <w:left w:val="nil"/>
              <w:bottom w:val="single" w:color="auto" w:sz="4" w:space="0"/>
              <w:right w:val="single" w:color="auto" w:sz="4" w:space="0"/>
            </w:tcBorders>
            <w:shd w:val="clear" w:color="auto" w:fill="auto"/>
            <w:vAlign w:val="center"/>
          </w:tcPr>
          <w:p>
            <w:pPr>
              <w:pStyle w:val="26"/>
            </w:pPr>
            <w:r>
              <w:t>2</w:t>
            </w:r>
          </w:p>
        </w:tc>
        <w:tc>
          <w:tcPr>
            <w:tcW w:w="1413" w:type="dxa"/>
            <w:tcBorders>
              <w:top w:val="nil"/>
              <w:left w:val="nil"/>
              <w:bottom w:val="single" w:color="auto" w:sz="4" w:space="0"/>
              <w:right w:val="single" w:color="auto" w:sz="4" w:space="0"/>
            </w:tcBorders>
            <w:shd w:val="clear" w:color="auto" w:fill="auto"/>
            <w:vAlign w:val="center"/>
          </w:tcPr>
          <w:p>
            <w:pPr>
              <w:pStyle w:val="26"/>
            </w:pPr>
            <w:r>
              <w:t>规范</w:t>
            </w:r>
          </w:p>
        </w:tc>
      </w:tr>
      <w:tr>
        <w:tblPrEx>
          <w:tblLayout w:type="fixed"/>
          <w:tblCellMar>
            <w:top w:w="0" w:type="dxa"/>
            <w:left w:w="108" w:type="dxa"/>
            <w:bottom w:w="0" w:type="dxa"/>
            <w:right w:w="108" w:type="dxa"/>
          </w:tblCellMar>
        </w:tblPrEx>
        <w:trPr>
          <w:trHeight w:val="288" w:hRule="atLeast"/>
        </w:trPr>
        <w:tc>
          <w:tcPr>
            <w:tcW w:w="1897" w:type="dxa"/>
            <w:vMerge w:val="continue"/>
            <w:tcBorders>
              <w:top w:val="nil"/>
              <w:left w:val="single" w:color="auto" w:sz="4" w:space="0"/>
              <w:bottom w:val="single" w:color="auto" w:sz="4" w:space="0"/>
              <w:right w:val="single" w:color="auto" w:sz="4" w:space="0"/>
            </w:tcBorders>
            <w:vAlign w:val="center"/>
          </w:tcPr>
          <w:p>
            <w:pPr>
              <w:pStyle w:val="26"/>
            </w:pPr>
          </w:p>
        </w:tc>
        <w:tc>
          <w:tcPr>
            <w:tcW w:w="1838" w:type="dxa"/>
            <w:vMerge w:val="continue"/>
            <w:tcBorders>
              <w:top w:val="nil"/>
              <w:left w:val="single" w:color="auto" w:sz="4" w:space="0"/>
              <w:bottom w:val="single" w:color="auto" w:sz="4" w:space="0"/>
              <w:right w:val="single" w:color="auto" w:sz="4" w:space="0"/>
            </w:tcBorders>
            <w:vAlign w:val="center"/>
          </w:tcPr>
          <w:p>
            <w:pPr>
              <w:pStyle w:val="26"/>
            </w:pPr>
          </w:p>
        </w:tc>
        <w:tc>
          <w:tcPr>
            <w:tcW w:w="2282" w:type="dxa"/>
            <w:tcBorders>
              <w:top w:val="nil"/>
              <w:left w:val="nil"/>
              <w:bottom w:val="single" w:color="auto" w:sz="4" w:space="0"/>
              <w:right w:val="single" w:color="auto" w:sz="4" w:space="0"/>
            </w:tcBorders>
            <w:shd w:val="clear" w:color="auto" w:fill="auto"/>
            <w:vAlign w:val="center"/>
          </w:tcPr>
          <w:p>
            <w:pPr>
              <w:pStyle w:val="26"/>
            </w:pPr>
            <w:r>
              <w:t>分配结果</w:t>
            </w:r>
          </w:p>
        </w:tc>
        <w:tc>
          <w:tcPr>
            <w:tcW w:w="1174" w:type="dxa"/>
            <w:tcBorders>
              <w:top w:val="nil"/>
              <w:left w:val="nil"/>
              <w:bottom w:val="single" w:color="auto" w:sz="4" w:space="0"/>
              <w:right w:val="single" w:color="auto" w:sz="4" w:space="0"/>
            </w:tcBorders>
            <w:shd w:val="clear" w:color="auto" w:fill="auto"/>
            <w:vAlign w:val="center"/>
          </w:tcPr>
          <w:p>
            <w:pPr>
              <w:pStyle w:val="26"/>
            </w:pPr>
            <w:r>
              <w:t>6</w:t>
            </w:r>
          </w:p>
        </w:tc>
        <w:tc>
          <w:tcPr>
            <w:tcW w:w="1413" w:type="dxa"/>
            <w:tcBorders>
              <w:top w:val="nil"/>
              <w:left w:val="nil"/>
              <w:bottom w:val="single" w:color="auto" w:sz="4" w:space="0"/>
              <w:right w:val="single" w:color="auto" w:sz="4" w:space="0"/>
            </w:tcBorders>
            <w:shd w:val="clear" w:color="auto" w:fill="auto"/>
            <w:vAlign w:val="center"/>
          </w:tcPr>
          <w:p>
            <w:pPr>
              <w:pStyle w:val="26"/>
            </w:pPr>
            <w:r>
              <w:t>合理</w:t>
            </w:r>
          </w:p>
        </w:tc>
      </w:tr>
      <w:tr>
        <w:tblPrEx>
          <w:tblLayout w:type="fixed"/>
          <w:tblCellMar>
            <w:top w:w="0" w:type="dxa"/>
            <w:left w:w="108" w:type="dxa"/>
            <w:bottom w:w="0" w:type="dxa"/>
            <w:right w:w="108" w:type="dxa"/>
          </w:tblCellMar>
        </w:tblPrEx>
        <w:trPr>
          <w:trHeight w:val="288" w:hRule="atLeast"/>
        </w:trPr>
        <w:tc>
          <w:tcPr>
            <w:tcW w:w="1897" w:type="dxa"/>
            <w:vMerge w:val="restart"/>
            <w:tcBorders>
              <w:top w:val="nil"/>
              <w:left w:val="single" w:color="auto" w:sz="4" w:space="0"/>
              <w:bottom w:val="single" w:color="auto" w:sz="4" w:space="0"/>
              <w:right w:val="single" w:color="auto" w:sz="4" w:space="0"/>
            </w:tcBorders>
            <w:shd w:val="clear" w:color="auto" w:fill="auto"/>
            <w:vAlign w:val="center"/>
          </w:tcPr>
          <w:p>
            <w:pPr>
              <w:pStyle w:val="26"/>
            </w:pPr>
            <w:r>
              <w:t>项目管理（25）</w:t>
            </w:r>
          </w:p>
        </w:tc>
        <w:tc>
          <w:tcPr>
            <w:tcW w:w="1838" w:type="dxa"/>
            <w:vMerge w:val="restart"/>
            <w:tcBorders>
              <w:top w:val="nil"/>
              <w:left w:val="single" w:color="auto" w:sz="4" w:space="0"/>
              <w:bottom w:val="single" w:color="auto" w:sz="4" w:space="0"/>
              <w:right w:val="single" w:color="auto" w:sz="4" w:space="0"/>
            </w:tcBorders>
            <w:shd w:val="clear" w:color="auto" w:fill="auto"/>
            <w:vAlign w:val="center"/>
          </w:tcPr>
          <w:p>
            <w:pPr>
              <w:pStyle w:val="26"/>
            </w:pPr>
            <w:r>
              <w:t>资金到位（5）</w:t>
            </w:r>
          </w:p>
        </w:tc>
        <w:tc>
          <w:tcPr>
            <w:tcW w:w="2282" w:type="dxa"/>
            <w:tcBorders>
              <w:top w:val="nil"/>
              <w:left w:val="nil"/>
              <w:bottom w:val="single" w:color="auto" w:sz="4" w:space="0"/>
              <w:right w:val="single" w:color="auto" w:sz="4" w:space="0"/>
            </w:tcBorders>
            <w:shd w:val="clear" w:color="auto" w:fill="auto"/>
            <w:vAlign w:val="center"/>
          </w:tcPr>
          <w:p>
            <w:pPr>
              <w:pStyle w:val="26"/>
            </w:pPr>
            <w:r>
              <w:t>到位率</w:t>
            </w:r>
          </w:p>
        </w:tc>
        <w:tc>
          <w:tcPr>
            <w:tcW w:w="1174" w:type="dxa"/>
            <w:tcBorders>
              <w:top w:val="nil"/>
              <w:left w:val="nil"/>
              <w:bottom w:val="single" w:color="auto" w:sz="4" w:space="0"/>
              <w:right w:val="single" w:color="auto" w:sz="4" w:space="0"/>
            </w:tcBorders>
            <w:shd w:val="clear" w:color="auto" w:fill="auto"/>
            <w:vAlign w:val="center"/>
          </w:tcPr>
          <w:p>
            <w:pPr>
              <w:pStyle w:val="26"/>
            </w:pPr>
            <w:r>
              <w:t>3</w:t>
            </w:r>
          </w:p>
        </w:tc>
        <w:tc>
          <w:tcPr>
            <w:tcW w:w="1413" w:type="dxa"/>
            <w:tcBorders>
              <w:top w:val="nil"/>
              <w:left w:val="nil"/>
              <w:bottom w:val="single" w:color="auto" w:sz="4" w:space="0"/>
              <w:right w:val="single" w:color="auto" w:sz="4" w:space="0"/>
            </w:tcBorders>
            <w:shd w:val="clear" w:color="auto" w:fill="auto"/>
            <w:vAlign w:val="center"/>
          </w:tcPr>
          <w:p>
            <w:pPr>
              <w:pStyle w:val="26"/>
            </w:pPr>
            <w:r>
              <w:t>100%</w:t>
            </w:r>
          </w:p>
        </w:tc>
      </w:tr>
      <w:tr>
        <w:tblPrEx>
          <w:tblLayout w:type="fixed"/>
          <w:tblCellMar>
            <w:top w:w="0" w:type="dxa"/>
            <w:left w:w="108" w:type="dxa"/>
            <w:bottom w:w="0" w:type="dxa"/>
            <w:right w:w="108" w:type="dxa"/>
          </w:tblCellMar>
        </w:tblPrEx>
        <w:trPr>
          <w:trHeight w:val="288" w:hRule="atLeast"/>
        </w:trPr>
        <w:tc>
          <w:tcPr>
            <w:tcW w:w="1897" w:type="dxa"/>
            <w:vMerge w:val="continue"/>
            <w:tcBorders>
              <w:top w:val="nil"/>
              <w:left w:val="single" w:color="auto" w:sz="4" w:space="0"/>
              <w:bottom w:val="single" w:color="auto" w:sz="4" w:space="0"/>
              <w:right w:val="single" w:color="auto" w:sz="4" w:space="0"/>
            </w:tcBorders>
            <w:vAlign w:val="center"/>
          </w:tcPr>
          <w:p>
            <w:pPr>
              <w:pStyle w:val="26"/>
            </w:pPr>
          </w:p>
        </w:tc>
        <w:tc>
          <w:tcPr>
            <w:tcW w:w="1838" w:type="dxa"/>
            <w:vMerge w:val="continue"/>
            <w:tcBorders>
              <w:top w:val="nil"/>
              <w:left w:val="single" w:color="auto" w:sz="4" w:space="0"/>
              <w:bottom w:val="single" w:color="auto" w:sz="4" w:space="0"/>
              <w:right w:val="single" w:color="auto" w:sz="4" w:space="0"/>
            </w:tcBorders>
            <w:vAlign w:val="center"/>
          </w:tcPr>
          <w:p>
            <w:pPr>
              <w:pStyle w:val="26"/>
            </w:pPr>
          </w:p>
        </w:tc>
        <w:tc>
          <w:tcPr>
            <w:tcW w:w="2282" w:type="dxa"/>
            <w:tcBorders>
              <w:top w:val="nil"/>
              <w:left w:val="nil"/>
              <w:bottom w:val="single" w:color="auto" w:sz="4" w:space="0"/>
              <w:right w:val="single" w:color="auto" w:sz="4" w:space="0"/>
            </w:tcBorders>
            <w:shd w:val="clear" w:color="auto" w:fill="auto"/>
            <w:vAlign w:val="center"/>
          </w:tcPr>
          <w:p>
            <w:pPr>
              <w:pStyle w:val="26"/>
            </w:pPr>
            <w:r>
              <w:t>到位时效</w:t>
            </w:r>
          </w:p>
        </w:tc>
        <w:tc>
          <w:tcPr>
            <w:tcW w:w="1174" w:type="dxa"/>
            <w:tcBorders>
              <w:top w:val="nil"/>
              <w:left w:val="nil"/>
              <w:bottom w:val="single" w:color="auto" w:sz="4" w:space="0"/>
              <w:right w:val="single" w:color="auto" w:sz="4" w:space="0"/>
            </w:tcBorders>
            <w:shd w:val="clear" w:color="auto" w:fill="auto"/>
            <w:vAlign w:val="center"/>
          </w:tcPr>
          <w:p>
            <w:pPr>
              <w:pStyle w:val="26"/>
            </w:pPr>
            <w:r>
              <w:t>2</w:t>
            </w:r>
          </w:p>
        </w:tc>
        <w:tc>
          <w:tcPr>
            <w:tcW w:w="1413" w:type="dxa"/>
            <w:tcBorders>
              <w:top w:val="nil"/>
              <w:left w:val="nil"/>
              <w:bottom w:val="single" w:color="auto" w:sz="4" w:space="0"/>
              <w:right w:val="single" w:color="auto" w:sz="4" w:space="0"/>
            </w:tcBorders>
            <w:shd w:val="clear" w:color="auto" w:fill="auto"/>
            <w:vAlign w:val="center"/>
          </w:tcPr>
          <w:p>
            <w:pPr>
              <w:pStyle w:val="26"/>
            </w:pPr>
            <w:r>
              <w:t>100%</w:t>
            </w:r>
          </w:p>
        </w:tc>
      </w:tr>
      <w:tr>
        <w:tblPrEx>
          <w:tblLayout w:type="fixed"/>
          <w:tblCellMar>
            <w:top w:w="0" w:type="dxa"/>
            <w:left w:w="108" w:type="dxa"/>
            <w:bottom w:w="0" w:type="dxa"/>
            <w:right w:w="108" w:type="dxa"/>
          </w:tblCellMar>
        </w:tblPrEx>
        <w:trPr>
          <w:trHeight w:val="288" w:hRule="atLeast"/>
        </w:trPr>
        <w:tc>
          <w:tcPr>
            <w:tcW w:w="1897" w:type="dxa"/>
            <w:vMerge w:val="continue"/>
            <w:tcBorders>
              <w:top w:val="nil"/>
              <w:left w:val="single" w:color="auto" w:sz="4" w:space="0"/>
              <w:bottom w:val="single" w:color="auto" w:sz="4" w:space="0"/>
              <w:right w:val="single" w:color="auto" w:sz="4" w:space="0"/>
            </w:tcBorders>
            <w:vAlign w:val="center"/>
          </w:tcPr>
          <w:p>
            <w:pPr>
              <w:pStyle w:val="26"/>
            </w:pPr>
          </w:p>
        </w:tc>
        <w:tc>
          <w:tcPr>
            <w:tcW w:w="1838" w:type="dxa"/>
            <w:vMerge w:val="restart"/>
            <w:tcBorders>
              <w:top w:val="nil"/>
              <w:left w:val="single" w:color="auto" w:sz="4" w:space="0"/>
              <w:bottom w:val="single" w:color="000000" w:sz="4" w:space="0"/>
              <w:right w:val="single" w:color="auto" w:sz="4" w:space="0"/>
            </w:tcBorders>
            <w:shd w:val="clear" w:color="auto" w:fill="auto"/>
            <w:vAlign w:val="center"/>
          </w:tcPr>
          <w:p>
            <w:pPr>
              <w:pStyle w:val="26"/>
            </w:pPr>
            <w:r>
              <w:t>资金管理（10）</w:t>
            </w:r>
          </w:p>
        </w:tc>
        <w:tc>
          <w:tcPr>
            <w:tcW w:w="2282" w:type="dxa"/>
            <w:tcBorders>
              <w:top w:val="nil"/>
              <w:left w:val="nil"/>
              <w:bottom w:val="single" w:color="auto" w:sz="4" w:space="0"/>
              <w:right w:val="single" w:color="auto" w:sz="4" w:space="0"/>
            </w:tcBorders>
            <w:shd w:val="clear" w:color="auto" w:fill="auto"/>
            <w:vAlign w:val="center"/>
          </w:tcPr>
          <w:p>
            <w:pPr>
              <w:pStyle w:val="26"/>
            </w:pPr>
            <w:r>
              <w:t>资金使用</w:t>
            </w:r>
          </w:p>
        </w:tc>
        <w:tc>
          <w:tcPr>
            <w:tcW w:w="1174" w:type="dxa"/>
            <w:tcBorders>
              <w:top w:val="nil"/>
              <w:left w:val="nil"/>
              <w:bottom w:val="single" w:color="auto" w:sz="4" w:space="0"/>
              <w:right w:val="single" w:color="auto" w:sz="4" w:space="0"/>
            </w:tcBorders>
            <w:shd w:val="clear" w:color="auto" w:fill="auto"/>
            <w:vAlign w:val="center"/>
          </w:tcPr>
          <w:p>
            <w:pPr>
              <w:pStyle w:val="26"/>
            </w:pPr>
            <w:r>
              <w:t>3</w:t>
            </w:r>
          </w:p>
        </w:tc>
        <w:tc>
          <w:tcPr>
            <w:tcW w:w="1413" w:type="dxa"/>
            <w:tcBorders>
              <w:top w:val="nil"/>
              <w:left w:val="nil"/>
              <w:bottom w:val="single" w:color="auto" w:sz="4" w:space="0"/>
              <w:right w:val="single" w:color="auto" w:sz="4" w:space="0"/>
            </w:tcBorders>
            <w:shd w:val="clear" w:color="auto" w:fill="auto"/>
            <w:vAlign w:val="center"/>
          </w:tcPr>
          <w:p>
            <w:pPr>
              <w:pStyle w:val="26"/>
            </w:pPr>
            <w:r>
              <w:t>规范</w:t>
            </w:r>
          </w:p>
        </w:tc>
      </w:tr>
      <w:tr>
        <w:tblPrEx>
          <w:tblLayout w:type="fixed"/>
          <w:tblCellMar>
            <w:top w:w="0" w:type="dxa"/>
            <w:left w:w="108" w:type="dxa"/>
            <w:bottom w:w="0" w:type="dxa"/>
            <w:right w:w="108" w:type="dxa"/>
          </w:tblCellMar>
        </w:tblPrEx>
        <w:trPr>
          <w:trHeight w:val="288" w:hRule="atLeast"/>
        </w:trPr>
        <w:tc>
          <w:tcPr>
            <w:tcW w:w="1897" w:type="dxa"/>
            <w:vMerge w:val="continue"/>
            <w:tcBorders>
              <w:top w:val="nil"/>
              <w:left w:val="single" w:color="auto" w:sz="4" w:space="0"/>
              <w:bottom w:val="single" w:color="auto" w:sz="4" w:space="0"/>
              <w:right w:val="single" w:color="auto" w:sz="4" w:space="0"/>
            </w:tcBorders>
            <w:vAlign w:val="center"/>
          </w:tcPr>
          <w:p>
            <w:pPr>
              <w:pStyle w:val="26"/>
            </w:pPr>
          </w:p>
        </w:tc>
        <w:tc>
          <w:tcPr>
            <w:tcW w:w="1838" w:type="dxa"/>
            <w:vMerge w:val="continue"/>
            <w:tcBorders>
              <w:top w:val="nil"/>
              <w:left w:val="single" w:color="auto" w:sz="4" w:space="0"/>
              <w:bottom w:val="single" w:color="000000" w:sz="4" w:space="0"/>
              <w:right w:val="single" w:color="auto" w:sz="4" w:space="0"/>
            </w:tcBorders>
            <w:vAlign w:val="center"/>
          </w:tcPr>
          <w:p>
            <w:pPr>
              <w:pStyle w:val="26"/>
            </w:pPr>
          </w:p>
        </w:tc>
        <w:tc>
          <w:tcPr>
            <w:tcW w:w="2282" w:type="dxa"/>
            <w:tcBorders>
              <w:top w:val="nil"/>
              <w:left w:val="nil"/>
              <w:bottom w:val="single" w:color="auto" w:sz="4" w:space="0"/>
              <w:right w:val="single" w:color="auto" w:sz="4" w:space="0"/>
            </w:tcBorders>
            <w:shd w:val="clear" w:color="auto" w:fill="auto"/>
            <w:vAlign w:val="center"/>
          </w:tcPr>
          <w:p>
            <w:pPr>
              <w:pStyle w:val="26"/>
            </w:pPr>
            <w:r>
              <w:t>预算执行</w:t>
            </w:r>
          </w:p>
        </w:tc>
        <w:tc>
          <w:tcPr>
            <w:tcW w:w="1174" w:type="dxa"/>
            <w:tcBorders>
              <w:top w:val="nil"/>
              <w:left w:val="nil"/>
              <w:bottom w:val="single" w:color="auto" w:sz="4" w:space="0"/>
              <w:right w:val="single" w:color="auto" w:sz="4" w:space="0"/>
            </w:tcBorders>
            <w:shd w:val="clear" w:color="auto" w:fill="auto"/>
            <w:vAlign w:val="center"/>
          </w:tcPr>
          <w:p>
            <w:pPr>
              <w:pStyle w:val="26"/>
            </w:pPr>
            <w:r>
              <w:t>4</w:t>
            </w:r>
          </w:p>
        </w:tc>
        <w:tc>
          <w:tcPr>
            <w:tcW w:w="1413" w:type="dxa"/>
            <w:tcBorders>
              <w:top w:val="nil"/>
              <w:left w:val="nil"/>
              <w:bottom w:val="single" w:color="auto" w:sz="4" w:space="0"/>
              <w:right w:val="single" w:color="auto" w:sz="4" w:space="0"/>
            </w:tcBorders>
            <w:shd w:val="clear" w:color="auto" w:fill="auto"/>
            <w:vAlign w:val="center"/>
          </w:tcPr>
          <w:p>
            <w:pPr>
              <w:pStyle w:val="26"/>
            </w:pPr>
            <w:r>
              <w:t>100%</w:t>
            </w:r>
          </w:p>
        </w:tc>
      </w:tr>
      <w:tr>
        <w:tblPrEx>
          <w:tblLayout w:type="fixed"/>
          <w:tblCellMar>
            <w:top w:w="0" w:type="dxa"/>
            <w:left w:w="108" w:type="dxa"/>
            <w:bottom w:w="0" w:type="dxa"/>
            <w:right w:w="108" w:type="dxa"/>
          </w:tblCellMar>
        </w:tblPrEx>
        <w:trPr>
          <w:trHeight w:val="288" w:hRule="atLeast"/>
        </w:trPr>
        <w:tc>
          <w:tcPr>
            <w:tcW w:w="1897" w:type="dxa"/>
            <w:vMerge w:val="continue"/>
            <w:tcBorders>
              <w:top w:val="nil"/>
              <w:left w:val="single" w:color="auto" w:sz="4" w:space="0"/>
              <w:bottom w:val="single" w:color="auto" w:sz="4" w:space="0"/>
              <w:right w:val="single" w:color="auto" w:sz="4" w:space="0"/>
            </w:tcBorders>
            <w:vAlign w:val="center"/>
          </w:tcPr>
          <w:p>
            <w:pPr>
              <w:pStyle w:val="26"/>
            </w:pPr>
          </w:p>
        </w:tc>
        <w:tc>
          <w:tcPr>
            <w:tcW w:w="1838" w:type="dxa"/>
            <w:vMerge w:val="continue"/>
            <w:tcBorders>
              <w:top w:val="nil"/>
              <w:left w:val="single" w:color="auto" w:sz="4" w:space="0"/>
              <w:bottom w:val="single" w:color="000000" w:sz="4" w:space="0"/>
              <w:right w:val="single" w:color="auto" w:sz="4" w:space="0"/>
            </w:tcBorders>
            <w:vAlign w:val="center"/>
          </w:tcPr>
          <w:p>
            <w:pPr>
              <w:pStyle w:val="26"/>
            </w:pPr>
          </w:p>
        </w:tc>
        <w:tc>
          <w:tcPr>
            <w:tcW w:w="2282" w:type="dxa"/>
            <w:tcBorders>
              <w:top w:val="nil"/>
              <w:left w:val="nil"/>
              <w:bottom w:val="single" w:color="auto" w:sz="4" w:space="0"/>
              <w:right w:val="single" w:color="auto" w:sz="4" w:space="0"/>
            </w:tcBorders>
            <w:shd w:val="clear" w:color="auto" w:fill="auto"/>
            <w:vAlign w:val="center"/>
          </w:tcPr>
          <w:p>
            <w:pPr>
              <w:pStyle w:val="26"/>
            </w:pPr>
            <w:r>
              <w:t>财务管理</w:t>
            </w:r>
          </w:p>
        </w:tc>
        <w:tc>
          <w:tcPr>
            <w:tcW w:w="1174" w:type="dxa"/>
            <w:tcBorders>
              <w:top w:val="nil"/>
              <w:left w:val="nil"/>
              <w:bottom w:val="single" w:color="auto" w:sz="4" w:space="0"/>
              <w:right w:val="single" w:color="auto" w:sz="4" w:space="0"/>
            </w:tcBorders>
            <w:shd w:val="clear" w:color="auto" w:fill="auto"/>
            <w:vAlign w:val="center"/>
          </w:tcPr>
          <w:p>
            <w:pPr>
              <w:pStyle w:val="26"/>
            </w:pPr>
            <w:r>
              <w:t>3</w:t>
            </w:r>
          </w:p>
        </w:tc>
        <w:tc>
          <w:tcPr>
            <w:tcW w:w="1413" w:type="dxa"/>
            <w:tcBorders>
              <w:top w:val="nil"/>
              <w:left w:val="nil"/>
              <w:bottom w:val="single" w:color="auto" w:sz="4" w:space="0"/>
              <w:right w:val="single" w:color="auto" w:sz="4" w:space="0"/>
            </w:tcBorders>
            <w:shd w:val="clear" w:color="auto" w:fill="auto"/>
            <w:vAlign w:val="center"/>
          </w:tcPr>
          <w:p>
            <w:pPr>
              <w:pStyle w:val="26"/>
            </w:pPr>
            <w:r>
              <w:t>规范</w:t>
            </w:r>
          </w:p>
        </w:tc>
      </w:tr>
      <w:tr>
        <w:tblPrEx>
          <w:tblLayout w:type="fixed"/>
          <w:tblCellMar>
            <w:top w:w="0" w:type="dxa"/>
            <w:left w:w="108" w:type="dxa"/>
            <w:bottom w:w="0" w:type="dxa"/>
            <w:right w:w="108" w:type="dxa"/>
          </w:tblCellMar>
        </w:tblPrEx>
        <w:trPr>
          <w:trHeight w:val="288" w:hRule="atLeast"/>
        </w:trPr>
        <w:tc>
          <w:tcPr>
            <w:tcW w:w="1897" w:type="dxa"/>
            <w:vMerge w:val="continue"/>
            <w:tcBorders>
              <w:top w:val="nil"/>
              <w:left w:val="single" w:color="auto" w:sz="4" w:space="0"/>
              <w:bottom w:val="single" w:color="auto" w:sz="4" w:space="0"/>
              <w:right w:val="single" w:color="auto" w:sz="4" w:space="0"/>
            </w:tcBorders>
            <w:vAlign w:val="center"/>
          </w:tcPr>
          <w:p>
            <w:pPr>
              <w:pStyle w:val="26"/>
            </w:pPr>
          </w:p>
        </w:tc>
        <w:tc>
          <w:tcPr>
            <w:tcW w:w="1838" w:type="dxa"/>
            <w:vMerge w:val="restart"/>
            <w:tcBorders>
              <w:top w:val="nil"/>
              <w:left w:val="single" w:color="auto" w:sz="4" w:space="0"/>
              <w:bottom w:val="single" w:color="auto" w:sz="4" w:space="0"/>
              <w:right w:val="single" w:color="auto" w:sz="4" w:space="0"/>
            </w:tcBorders>
            <w:shd w:val="clear" w:color="auto" w:fill="auto"/>
            <w:vAlign w:val="center"/>
          </w:tcPr>
          <w:p>
            <w:pPr>
              <w:pStyle w:val="26"/>
            </w:pPr>
            <w:r>
              <w:t>组织实施（10）</w:t>
            </w:r>
          </w:p>
        </w:tc>
        <w:tc>
          <w:tcPr>
            <w:tcW w:w="2282" w:type="dxa"/>
            <w:tcBorders>
              <w:top w:val="nil"/>
              <w:left w:val="nil"/>
              <w:bottom w:val="single" w:color="auto" w:sz="4" w:space="0"/>
              <w:right w:val="single" w:color="auto" w:sz="4" w:space="0"/>
            </w:tcBorders>
            <w:shd w:val="clear" w:color="auto" w:fill="auto"/>
            <w:vAlign w:val="center"/>
          </w:tcPr>
          <w:p>
            <w:pPr>
              <w:pStyle w:val="26"/>
            </w:pPr>
            <w:r>
              <w:t>组织机构</w:t>
            </w:r>
          </w:p>
        </w:tc>
        <w:tc>
          <w:tcPr>
            <w:tcW w:w="1174" w:type="dxa"/>
            <w:tcBorders>
              <w:top w:val="nil"/>
              <w:left w:val="nil"/>
              <w:bottom w:val="single" w:color="auto" w:sz="4" w:space="0"/>
              <w:right w:val="single" w:color="auto" w:sz="4" w:space="0"/>
            </w:tcBorders>
            <w:shd w:val="clear" w:color="auto" w:fill="auto"/>
            <w:vAlign w:val="center"/>
          </w:tcPr>
          <w:p>
            <w:pPr>
              <w:pStyle w:val="26"/>
            </w:pPr>
            <w:r>
              <w:t>1</w:t>
            </w:r>
          </w:p>
        </w:tc>
        <w:tc>
          <w:tcPr>
            <w:tcW w:w="1413" w:type="dxa"/>
            <w:tcBorders>
              <w:top w:val="nil"/>
              <w:left w:val="nil"/>
              <w:bottom w:val="single" w:color="auto" w:sz="4" w:space="0"/>
              <w:right w:val="single" w:color="auto" w:sz="4" w:space="0"/>
            </w:tcBorders>
            <w:shd w:val="clear" w:color="auto" w:fill="auto"/>
            <w:vAlign w:val="center"/>
          </w:tcPr>
          <w:p>
            <w:pPr>
              <w:pStyle w:val="26"/>
            </w:pPr>
            <w:r>
              <w:t>健全</w:t>
            </w:r>
          </w:p>
        </w:tc>
      </w:tr>
      <w:tr>
        <w:tblPrEx>
          <w:tblLayout w:type="fixed"/>
          <w:tblCellMar>
            <w:top w:w="0" w:type="dxa"/>
            <w:left w:w="108" w:type="dxa"/>
            <w:bottom w:w="0" w:type="dxa"/>
            <w:right w:w="108" w:type="dxa"/>
          </w:tblCellMar>
        </w:tblPrEx>
        <w:trPr>
          <w:trHeight w:val="288" w:hRule="atLeast"/>
        </w:trPr>
        <w:tc>
          <w:tcPr>
            <w:tcW w:w="1897" w:type="dxa"/>
            <w:vMerge w:val="continue"/>
            <w:tcBorders>
              <w:top w:val="nil"/>
              <w:left w:val="single" w:color="auto" w:sz="4" w:space="0"/>
              <w:bottom w:val="single" w:color="auto" w:sz="4" w:space="0"/>
              <w:right w:val="single" w:color="auto" w:sz="4" w:space="0"/>
            </w:tcBorders>
            <w:vAlign w:val="center"/>
          </w:tcPr>
          <w:p>
            <w:pPr>
              <w:pStyle w:val="26"/>
              <w:rPr>
                <w:rFonts w:ascii="Times New Roman" w:hAnsi="Times New Roman" w:cs="Times New Roman"/>
                <w:kern w:val="0"/>
                <w:sz w:val="22"/>
              </w:rPr>
            </w:pPr>
          </w:p>
        </w:tc>
        <w:tc>
          <w:tcPr>
            <w:tcW w:w="1838" w:type="dxa"/>
            <w:vMerge w:val="continue"/>
            <w:tcBorders>
              <w:top w:val="nil"/>
              <w:left w:val="single" w:color="auto" w:sz="4" w:space="0"/>
              <w:bottom w:val="single" w:color="auto" w:sz="4" w:space="0"/>
              <w:right w:val="single" w:color="auto" w:sz="4" w:space="0"/>
            </w:tcBorders>
            <w:vAlign w:val="center"/>
          </w:tcPr>
          <w:p>
            <w:pPr>
              <w:pStyle w:val="26"/>
              <w:rPr>
                <w:rFonts w:ascii="Times New Roman" w:hAnsi="Times New Roman" w:cs="Times New Roman"/>
                <w:kern w:val="0"/>
                <w:sz w:val="22"/>
              </w:rPr>
            </w:pPr>
          </w:p>
        </w:tc>
        <w:tc>
          <w:tcPr>
            <w:tcW w:w="2282" w:type="dxa"/>
            <w:tcBorders>
              <w:top w:val="nil"/>
              <w:left w:val="nil"/>
              <w:bottom w:val="single" w:color="auto" w:sz="4" w:space="0"/>
              <w:right w:val="single" w:color="auto" w:sz="4" w:space="0"/>
            </w:tcBorders>
            <w:shd w:val="clear" w:color="auto" w:fill="auto"/>
            <w:vAlign w:val="center"/>
          </w:tcPr>
          <w:p>
            <w:pPr>
              <w:pStyle w:val="26"/>
            </w:pPr>
            <w:r>
              <w:t>管理制度</w:t>
            </w:r>
          </w:p>
        </w:tc>
        <w:tc>
          <w:tcPr>
            <w:tcW w:w="1174" w:type="dxa"/>
            <w:tcBorders>
              <w:top w:val="nil"/>
              <w:left w:val="nil"/>
              <w:bottom w:val="single" w:color="auto" w:sz="4" w:space="0"/>
              <w:right w:val="single" w:color="auto" w:sz="4" w:space="0"/>
            </w:tcBorders>
            <w:shd w:val="clear" w:color="auto" w:fill="auto"/>
            <w:vAlign w:val="center"/>
          </w:tcPr>
          <w:p>
            <w:pPr>
              <w:pStyle w:val="26"/>
            </w:pPr>
            <w:r>
              <w:t>9</w:t>
            </w:r>
          </w:p>
        </w:tc>
        <w:tc>
          <w:tcPr>
            <w:tcW w:w="1413" w:type="dxa"/>
            <w:tcBorders>
              <w:top w:val="nil"/>
              <w:left w:val="nil"/>
              <w:bottom w:val="single" w:color="auto" w:sz="4" w:space="0"/>
              <w:right w:val="single" w:color="auto" w:sz="4" w:space="0"/>
            </w:tcBorders>
            <w:shd w:val="clear" w:color="auto" w:fill="auto"/>
            <w:vAlign w:val="center"/>
          </w:tcPr>
          <w:p>
            <w:pPr>
              <w:pStyle w:val="26"/>
            </w:pPr>
            <w:r>
              <w:t>健全</w:t>
            </w:r>
          </w:p>
        </w:tc>
      </w:tr>
      <w:tr>
        <w:tblPrEx>
          <w:tblLayout w:type="fixed"/>
          <w:tblCellMar>
            <w:top w:w="0" w:type="dxa"/>
            <w:left w:w="108" w:type="dxa"/>
            <w:bottom w:w="0" w:type="dxa"/>
            <w:right w:w="108" w:type="dxa"/>
          </w:tblCellMar>
        </w:tblPrEx>
        <w:trPr>
          <w:trHeight w:val="288" w:hRule="atLeast"/>
        </w:trPr>
        <w:tc>
          <w:tcPr>
            <w:tcW w:w="18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ascii="Times New Roman" w:hAnsi="Times New Roman" w:cs="Times New Roman"/>
                <w:color w:val="auto"/>
                <w:kern w:val="0"/>
                <w:sz w:val="22"/>
              </w:rPr>
            </w:pPr>
            <w:r>
              <w:rPr>
                <w:rFonts w:ascii="Times New Roman" w:hAnsi="Times New Roman" w:cs="Times New Roman"/>
                <w:color w:val="auto"/>
                <w:kern w:val="0"/>
                <w:sz w:val="22"/>
              </w:rPr>
              <w:t>项目绩效（55）</w:t>
            </w:r>
          </w:p>
        </w:tc>
        <w:tc>
          <w:tcPr>
            <w:tcW w:w="18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ascii="Times New Roman" w:hAnsi="Times New Roman" w:cs="Times New Roman"/>
                <w:color w:val="auto"/>
                <w:kern w:val="0"/>
                <w:sz w:val="22"/>
              </w:rPr>
            </w:pPr>
            <w:r>
              <w:rPr>
                <w:rFonts w:ascii="Times New Roman" w:hAnsi="Times New Roman" w:cs="Times New Roman"/>
                <w:color w:val="auto"/>
                <w:kern w:val="0"/>
                <w:sz w:val="22"/>
              </w:rPr>
              <w:t>项目产出（15）</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eastAsia"/>
                <w:lang w:val="en-US" w:eastAsia="zh-CN"/>
              </w:rPr>
            </w:pPr>
            <w:r>
              <w:rPr>
                <w:rFonts w:hint="eastAsia"/>
              </w:rPr>
              <w:t>维护单位各类系统</w:t>
            </w:r>
            <w:r>
              <w:rPr>
                <w:rFonts w:hint="eastAsia"/>
                <w:lang w:val="en-US" w:eastAsia="zh-CN"/>
              </w:rPr>
              <w:t>完成率</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t>5</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default"/>
                <w:lang w:val="en-US" w:eastAsia="zh-CN"/>
              </w:rPr>
            </w:pPr>
            <w:r>
              <w:rPr>
                <w:rFonts w:hint="eastAsia"/>
                <w:lang w:val="en-US" w:eastAsia="zh-CN"/>
              </w:rPr>
              <w:t>100%</w:t>
            </w:r>
          </w:p>
        </w:tc>
      </w:tr>
      <w:tr>
        <w:tblPrEx>
          <w:tblLayout w:type="fixed"/>
          <w:tblCellMar>
            <w:top w:w="0" w:type="dxa"/>
            <w:left w:w="108" w:type="dxa"/>
            <w:bottom w:w="0" w:type="dxa"/>
            <w:right w:w="108" w:type="dxa"/>
          </w:tblCellMar>
        </w:tblPrEx>
        <w:trPr>
          <w:trHeight w:val="288" w:hRule="atLeast"/>
        </w:trPr>
        <w:tc>
          <w:tcPr>
            <w:tcW w:w="1897"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eastAsia"/>
                <w:lang w:val="en-US" w:eastAsia="zh-CN"/>
              </w:rPr>
            </w:pPr>
            <w:r>
              <w:rPr>
                <w:rFonts w:hint="eastAsia"/>
              </w:rPr>
              <w:t>立法调研次数</w:t>
            </w:r>
            <w:r>
              <w:rPr>
                <w:rFonts w:hint="eastAsia"/>
                <w:lang w:val="en-US" w:eastAsia="zh-CN"/>
              </w:rPr>
              <w:t>完成率</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t>4</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default"/>
                <w:lang w:val="en-US" w:eastAsia="zh-CN"/>
              </w:rPr>
            </w:pPr>
            <w:r>
              <w:rPr>
                <w:rFonts w:hint="eastAsia"/>
                <w:lang w:val="en-US" w:eastAsia="zh-CN"/>
              </w:rPr>
              <w:t>100%</w:t>
            </w:r>
          </w:p>
        </w:tc>
      </w:tr>
      <w:tr>
        <w:tblPrEx>
          <w:tblLayout w:type="fixed"/>
          <w:tblCellMar>
            <w:top w:w="0" w:type="dxa"/>
            <w:left w:w="108" w:type="dxa"/>
            <w:bottom w:w="0" w:type="dxa"/>
            <w:right w:w="108" w:type="dxa"/>
          </w:tblCellMar>
        </w:tblPrEx>
        <w:trPr>
          <w:trHeight w:val="288" w:hRule="atLeast"/>
        </w:trPr>
        <w:tc>
          <w:tcPr>
            <w:tcW w:w="1897"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default"/>
                <w:lang w:val="en-US" w:eastAsia="zh-CN"/>
              </w:rPr>
            </w:pPr>
            <w:r>
              <w:rPr>
                <w:rFonts w:hint="eastAsia"/>
                <w:lang w:val="en-US" w:eastAsia="zh-CN"/>
              </w:rPr>
              <w:t>工作开展及时性</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t>3</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eastAsia"/>
                <w:lang w:val="en-US" w:eastAsia="zh-CN"/>
              </w:rPr>
            </w:pPr>
            <w:r>
              <w:rPr>
                <w:rFonts w:hint="eastAsia"/>
                <w:lang w:val="en-US" w:eastAsia="zh-CN"/>
              </w:rPr>
              <w:t>及时</w:t>
            </w:r>
          </w:p>
        </w:tc>
      </w:tr>
      <w:tr>
        <w:tblPrEx>
          <w:tblLayout w:type="fixed"/>
          <w:tblCellMar>
            <w:top w:w="0" w:type="dxa"/>
            <w:left w:w="108" w:type="dxa"/>
            <w:bottom w:w="0" w:type="dxa"/>
            <w:right w:w="108" w:type="dxa"/>
          </w:tblCellMar>
        </w:tblPrEx>
        <w:trPr>
          <w:trHeight w:val="288" w:hRule="atLeast"/>
        </w:trPr>
        <w:tc>
          <w:tcPr>
            <w:tcW w:w="1897"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default"/>
                <w:lang w:val="en-US" w:eastAsia="zh-CN"/>
              </w:rPr>
            </w:pPr>
            <w:r>
              <w:rPr>
                <w:rFonts w:hint="eastAsia"/>
                <w:lang w:val="en-US" w:eastAsia="zh-CN"/>
              </w:rPr>
              <w:t>成本控制率</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t>3</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default"/>
                <w:lang w:val="en-US" w:eastAsia="zh-CN"/>
              </w:rPr>
            </w:pPr>
            <w:r>
              <w:rPr>
                <w:rFonts w:hint="eastAsia"/>
                <w:lang w:val="en-US" w:eastAsia="zh-CN"/>
              </w:rPr>
              <w:t>=100%</w:t>
            </w:r>
          </w:p>
        </w:tc>
      </w:tr>
      <w:tr>
        <w:tblPrEx>
          <w:tblLayout w:type="fixed"/>
          <w:tblCellMar>
            <w:top w:w="0" w:type="dxa"/>
            <w:left w:w="108" w:type="dxa"/>
            <w:bottom w:w="0" w:type="dxa"/>
            <w:right w:w="108" w:type="dxa"/>
          </w:tblCellMar>
        </w:tblPrEx>
        <w:trPr>
          <w:trHeight w:val="344" w:hRule="atLeast"/>
        </w:trPr>
        <w:tc>
          <w:tcPr>
            <w:tcW w:w="1897"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18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ascii="Times New Roman" w:hAnsi="Times New Roman" w:cs="Times New Roman"/>
                <w:color w:val="auto"/>
                <w:kern w:val="0"/>
                <w:sz w:val="22"/>
              </w:rPr>
            </w:pPr>
            <w:r>
              <w:rPr>
                <w:rFonts w:ascii="Times New Roman" w:hAnsi="Times New Roman" w:cs="Times New Roman"/>
                <w:color w:val="auto"/>
                <w:kern w:val="0"/>
                <w:sz w:val="22"/>
              </w:rPr>
              <w:t>项目效果（40）</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default"/>
                <w:lang w:val="en-US" w:eastAsia="zh-CN"/>
              </w:rPr>
            </w:pPr>
            <w:r>
              <w:rPr>
                <w:rFonts w:hint="eastAsia"/>
                <w:lang w:val="en-US" w:eastAsia="zh-CN"/>
              </w:rPr>
              <w:t>单位工作正常开展保障性</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rPr>
                <w:rFonts w:hint="eastAsia"/>
              </w:rPr>
              <w:t>24</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default"/>
                <w:lang w:val="en-US" w:eastAsia="zh-CN"/>
              </w:rPr>
            </w:pPr>
            <w:r>
              <w:rPr>
                <w:rFonts w:hint="eastAsia"/>
                <w:lang w:val="en-US" w:eastAsia="zh-CN"/>
              </w:rPr>
              <w:t>=100%</w:t>
            </w:r>
          </w:p>
        </w:tc>
      </w:tr>
      <w:tr>
        <w:tblPrEx>
          <w:tblLayout w:type="fixed"/>
          <w:tblCellMar>
            <w:top w:w="0" w:type="dxa"/>
            <w:left w:w="108" w:type="dxa"/>
            <w:bottom w:w="0" w:type="dxa"/>
            <w:right w:w="108" w:type="dxa"/>
          </w:tblCellMar>
        </w:tblPrEx>
        <w:trPr>
          <w:trHeight w:val="288" w:hRule="atLeast"/>
        </w:trPr>
        <w:tc>
          <w:tcPr>
            <w:tcW w:w="1897"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t>信息公开完备性</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rPr>
                <w:rFonts w:hint="eastAsia"/>
              </w:rPr>
              <w:t>5</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t>完备</w:t>
            </w:r>
          </w:p>
        </w:tc>
      </w:tr>
      <w:tr>
        <w:tblPrEx>
          <w:tblLayout w:type="fixed"/>
          <w:tblCellMar>
            <w:top w:w="0" w:type="dxa"/>
            <w:left w:w="108" w:type="dxa"/>
            <w:bottom w:w="0" w:type="dxa"/>
            <w:right w:w="108" w:type="dxa"/>
          </w:tblCellMar>
        </w:tblPrEx>
        <w:trPr>
          <w:trHeight w:val="288" w:hRule="atLeast"/>
        </w:trPr>
        <w:tc>
          <w:tcPr>
            <w:tcW w:w="1897"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rPr>
                <w:rFonts w:hint="eastAsia"/>
              </w:rPr>
              <w:t>长效</w:t>
            </w:r>
            <w:r>
              <w:t>机制健全性</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rPr>
                <w:rFonts w:hint="eastAsia"/>
              </w:rPr>
              <w:t>5</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t>健全</w:t>
            </w:r>
          </w:p>
        </w:tc>
      </w:tr>
      <w:tr>
        <w:tblPrEx>
          <w:tblLayout w:type="fixed"/>
          <w:tblCellMar>
            <w:top w:w="0" w:type="dxa"/>
            <w:left w:w="108" w:type="dxa"/>
            <w:bottom w:w="0" w:type="dxa"/>
            <w:right w:w="108" w:type="dxa"/>
          </w:tblCellMar>
        </w:tblPrEx>
        <w:trPr>
          <w:trHeight w:val="296" w:hRule="atLeast"/>
        </w:trPr>
        <w:tc>
          <w:tcPr>
            <w:tcW w:w="1897"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default"/>
                <w:lang w:val="en-US" w:eastAsia="zh-CN"/>
              </w:rPr>
            </w:pPr>
            <w:r>
              <w:rPr>
                <w:rFonts w:hint="eastAsia"/>
                <w:lang w:val="en-US" w:eastAsia="zh-CN"/>
              </w:rPr>
              <w:t>单位工作人员满意度</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rPr>
                <w:rFonts w:hint="eastAsia"/>
              </w:rPr>
              <w:t>6</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default"/>
                <w:lang w:val="en-US" w:eastAsia="zh-CN"/>
              </w:rPr>
            </w:pPr>
            <w:r>
              <w:rPr>
                <w:rFonts w:hint="eastAsia"/>
                <w:lang w:val="en-US" w:eastAsia="zh-CN"/>
              </w:rPr>
              <w:t>≥95%</w:t>
            </w:r>
          </w:p>
        </w:tc>
      </w:tr>
      <w:tr>
        <w:tblPrEx>
          <w:tblLayout w:type="fixed"/>
          <w:tblCellMar>
            <w:top w:w="0" w:type="dxa"/>
            <w:left w:w="108" w:type="dxa"/>
            <w:bottom w:w="0" w:type="dxa"/>
            <w:right w:w="108" w:type="dxa"/>
          </w:tblCellMar>
        </w:tblPrEx>
        <w:trPr>
          <w:trHeight w:val="296" w:hRule="atLeast"/>
        </w:trPr>
        <w:tc>
          <w:tcPr>
            <w:tcW w:w="6017" w:type="dxa"/>
            <w:gridSpan w:val="3"/>
            <w:tcBorders>
              <w:top w:val="single" w:color="auto" w:sz="4" w:space="0"/>
              <w:left w:val="single" w:color="auto" w:sz="4" w:space="0"/>
              <w:bottom w:val="single" w:color="auto" w:sz="4" w:space="0"/>
              <w:right w:val="single" w:color="auto" w:sz="4" w:space="0"/>
            </w:tcBorders>
            <w:vAlign w:val="center"/>
          </w:tcPr>
          <w:p>
            <w:pPr>
              <w:pStyle w:val="26"/>
              <w:rPr>
                <w:rFonts w:hint="default" w:cs="仿宋_GB2312"/>
                <w:color w:val="auto"/>
                <w:kern w:val="0"/>
                <w:sz w:val="22"/>
                <w:lang w:val="en-US" w:eastAsia="zh-CN"/>
              </w:rPr>
            </w:pPr>
            <w:r>
              <w:rPr>
                <w:rFonts w:hint="eastAsia" w:cs="仿宋_GB2312"/>
                <w:color w:val="auto"/>
                <w:kern w:val="0"/>
                <w:sz w:val="24"/>
                <w:szCs w:val="24"/>
                <w:lang w:val="en-US" w:eastAsia="zh-CN"/>
              </w:rPr>
              <w:t>合计</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default" w:eastAsia="仿宋_GB2312"/>
                <w:color w:val="auto"/>
                <w:lang w:val="en-US" w:eastAsia="zh-CN"/>
              </w:rPr>
            </w:pPr>
            <w:r>
              <w:rPr>
                <w:rFonts w:hint="eastAsia"/>
                <w:color w:val="auto"/>
                <w:lang w:val="en-US" w:eastAsia="zh-CN"/>
              </w:rPr>
              <w:t>100</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default" w:ascii="Times New Roman" w:hAnsi="Times New Roman" w:cs="Times New Roman"/>
                <w:color w:val="auto"/>
                <w:kern w:val="0"/>
                <w:sz w:val="22"/>
                <w:lang w:val="en-US" w:eastAsia="zh-CN"/>
              </w:rPr>
            </w:pPr>
            <w:r>
              <w:rPr>
                <w:rFonts w:hint="eastAsia" w:ascii="Times New Roman" w:hAnsi="Times New Roman" w:cs="Times New Roman"/>
                <w:color w:val="auto"/>
                <w:kern w:val="0"/>
                <w:sz w:val="22"/>
                <w:lang w:val="en-US" w:eastAsia="zh-CN"/>
              </w:rPr>
              <w:t>-</w:t>
            </w:r>
          </w:p>
        </w:tc>
      </w:tr>
    </w:tbl>
    <w:p>
      <w:pPr>
        <w:pStyle w:val="23"/>
        <w:ind w:firstLine="640"/>
      </w:pPr>
    </w:p>
    <w:p>
      <w:pPr>
        <w:pStyle w:val="25"/>
        <w:outlineLvl w:val="1"/>
      </w:pPr>
      <w:bookmarkStart w:id="40" w:name="_Toc77065990"/>
      <w:bookmarkStart w:id="41" w:name="_Toc76132246"/>
      <w:bookmarkStart w:id="42" w:name="_Toc76133032"/>
      <w:bookmarkStart w:id="43" w:name="_Toc25188"/>
      <w:r>
        <w:rPr>
          <w:rFonts w:hint="eastAsia"/>
        </w:rPr>
        <w:t>评价方法</w:t>
      </w:r>
      <w:bookmarkEnd w:id="40"/>
      <w:bookmarkEnd w:id="41"/>
      <w:bookmarkEnd w:id="42"/>
      <w:bookmarkEnd w:id="43"/>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bookmarkStart w:id="44" w:name="_Toc77065991"/>
      <w:bookmarkStart w:id="45" w:name="_Toc76133033"/>
      <w:bookmarkStart w:id="46" w:name="_Toc76132247"/>
      <w:r>
        <w:rPr>
          <w:rFonts w:ascii="Times New Roman" w:hAnsi="Times New Roman" w:eastAsia="仿宋_GB2312" w:cs="仿宋"/>
          <w:b w:val="0"/>
          <w:bCs w:val="0"/>
          <w:spacing w:val="-6"/>
          <w:sz w:val="32"/>
          <w:szCs w:val="32"/>
        </w:rPr>
        <w:t>本次绩效评价工作采用（但不限于） 以下评价方法：</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（1）综合评价法</w:t>
      </w:r>
    </w:p>
    <w:p>
      <w:pPr>
        <w:keepNext w:val="0"/>
        <w:keepLines w:val="0"/>
        <w:pageBreakBefore w:val="0"/>
        <w:widowControl/>
        <w:kinsoku w:val="0"/>
        <w:wordWrap/>
        <w:overflowPunct/>
        <w:topLinePunct w:val="0"/>
        <w:autoSpaceDE w:val="0"/>
        <w:autoSpaceDN w:val="0"/>
        <w:bidi w:val="0"/>
        <w:adjustRightInd w:val="0"/>
        <w:snapToGrid w:val="0"/>
        <w:spacing w:line="660" w:lineRule="exact"/>
        <w:ind w:right="0" w:firstLine="616" w:firstLineChars="200"/>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在梳理项目实施背景、主要内容、绩效目标及组织管理流程等内容的基础上，依据 “决策-过程-产出-效果”的逻辑路径，构建客观、科学的评价指标体系，并设置相应的指标权重与评分标准，对改造资金进行综合、全面的评价。</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（2）比较法</w:t>
      </w:r>
    </w:p>
    <w:p>
      <w:pPr>
        <w:keepNext w:val="0"/>
        <w:keepLines w:val="0"/>
        <w:pageBreakBefore w:val="0"/>
        <w:widowControl/>
        <w:kinsoku w:val="0"/>
        <w:wordWrap/>
        <w:overflowPunct/>
        <w:topLinePunct w:val="0"/>
        <w:autoSpaceDE w:val="0"/>
        <w:autoSpaceDN w:val="0"/>
        <w:bidi w:val="0"/>
        <w:adjustRightInd w:val="0"/>
        <w:snapToGrid w:val="0"/>
        <w:spacing w:line="660" w:lineRule="exact"/>
        <w:ind w:right="0" w:firstLine="616" w:firstLineChars="200"/>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通过梳理项目工作开展情况，将项目的实施效果与绩效目标、当期情况与历史情况进行对比，分析资金使用及管理过程中存在的问题，为进一步推进项目工作常态化开展提供合 理化建议。</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（3）公众评判法</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评价工作实施过程中</w:t>
      </w:r>
      <w:r>
        <w:rPr>
          <w:rFonts w:hint="eastAsia" w:ascii="Times New Roman" w:hAnsi="Times New Roman" w:eastAsia="仿宋_GB2312" w:cs="仿宋"/>
          <w:b w:val="0"/>
          <w:bCs w:val="0"/>
          <w:spacing w:val="-6"/>
          <w:sz w:val="32"/>
          <w:szCs w:val="32"/>
          <w:lang w:eastAsia="zh-CN"/>
        </w:rPr>
        <w:t>，</w:t>
      </w:r>
      <w:r>
        <w:rPr>
          <w:rFonts w:ascii="Times New Roman" w:hAnsi="Times New Roman" w:eastAsia="仿宋_GB2312" w:cs="仿宋"/>
          <w:b w:val="0"/>
          <w:bCs w:val="0"/>
          <w:spacing w:val="-6"/>
          <w:sz w:val="32"/>
          <w:szCs w:val="32"/>
        </w:rPr>
        <w:t>与相关部门工作人员通过</w:t>
      </w:r>
      <w:r>
        <w:rPr>
          <w:rFonts w:hint="eastAsia" w:ascii="Times New Roman" w:hAnsi="Times New Roman" w:eastAsia="仿宋_GB2312" w:cs="仿宋"/>
          <w:b w:val="0"/>
          <w:bCs w:val="0"/>
          <w:spacing w:val="-6"/>
          <w:sz w:val="32"/>
          <w:szCs w:val="32"/>
          <w:lang w:val="en-US" w:eastAsia="zh-CN"/>
        </w:rPr>
        <w:t>进行</w:t>
      </w:r>
      <w:r>
        <w:rPr>
          <w:rFonts w:ascii="Times New Roman" w:hAnsi="Times New Roman" w:eastAsia="仿宋_GB2312" w:cs="仿宋"/>
          <w:b w:val="0"/>
          <w:bCs w:val="0"/>
          <w:spacing w:val="-6"/>
          <w:sz w:val="32"/>
          <w:szCs w:val="32"/>
        </w:rPr>
        <w:t>调研访谈，了解项目职责划分、资金分配、项目实施与监管等情况</w:t>
      </w:r>
      <w:r>
        <w:rPr>
          <w:rFonts w:hint="eastAsia" w:ascii="Times New Roman" w:hAnsi="Times New Roman" w:eastAsia="仿宋_GB2312" w:cs="仿宋"/>
          <w:b w:val="0"/>
          <w:bCs w:val="0"/>
          <w:spacing w:val="-6"/>
          <w:sz w:val="32"/>
          <w:szCs w:val="32"/>
          <w:lang w:eastAsia="zh-CN"/>
        </w:rPr>
        <w:t>；</w:t>
      </w:r>
      <w:r>
        <w:rPr>
          <w:rFonts w:ascii="Times New Roman" w:hAnsi="Times New Roman" w:eastAsia="仿宋_GB2312" w:cs="仿宋"/>
          <w:b w:val="0"/>
          <w:bCs w:val="0"/>
          <w:spacing w:val="-6"/>
          <w:sz w:val="32"/>
          <w:szCs w:val="32"/>
        </w:rPr>
        <w:t>针对项目工作人员、相关收益群众进行满意度调查，分析公众对本项目的意见和建议进行综合评判。</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（4）现场核查法</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结项目资金分配比例</w:t>
      </w:r>
      <w:r>
        <w:rPr>
          <w:rFonts w:hint="eastAsia" w:ascii="Times New Roman" w:hAnsi="Times New Roman" w:eastAsia="仿宋_GB2312" w:cs="仿宋"/>
          <w:b w:val="0"/>
          <w:bCs w:val="0"/>
          <w:spacing w:val="-6"/>
          <w:sz w:val="32"/>
          <w:szCs w:val="32"/>
          <w:lang w:eastAsia="zh-CN"/>
        </w:rPr>
        <w:t>、</w:t>
      </w:r>
      <w:r>
        <w:rPr>
          <w:rFonts w:ascii="Times New Roman" w:hAnsi="Times New Roman" w:eastAsia="仿宋_GB2312" w:cs="仿宋"/>
          <w:b w:val="0"/>
          <w:bCs w:val="0"/>
          <w:spacing w:val="-6"/>
          <w:sz w:val="32"/>
          <w:szCs w:val="32"/>
        </w:rPr>
        <w:t>项目分布等因素，进行现场核查，通过现场核实</w:t>
      </w:r>
      <w:r>
        <w:rPr>
          <w:rFonts w:hint="eastAsia" w:ascii="Times New Roman" w:hAnsi="Times New Roman" w:eastAsia="仿宋_GB2312" w:cs="仿宋"/>
          <w:b w:val="0"/>
          <w:bCs w:val="0"/>
          <w:spacing w:val="-6"/>
          <w:sz w:val="32"/>
          <w:szCs w:val="32"/>
        </w:rPr>
        <w:t>省部级劳模专项补助资金</w:t>
      </w:r>
      <w:r>
        <w:rPr>
          <w:rFonts w:hint="eastAsia" w:ascii="Times New Roman" w:hAnsi="Times New Roman" w:eastAsia="仿宋_GB2312" w:cs="仿宋"/>
          <w:b w:val="0"/>
          <w:bCs w:val="0"/>
          <w:spacing w:val="-6"/>
          <w:sz w:val="32"/>
          <w:szCs w:val="32"/>
          <w:lang w:val="en-US" w:eastAsia="zh-CN"/>
        </w:rPr>
        <w:t>发放情况</w:t>
      </w:r>
      <w:r>
        <w:rPr>
          <w:rFonts w:ascii="Times New Roman" w:hAnsi="Times New Roman" w:eastAsia="仿宋_GB2312" w:cs="仿宋"/>
          <w:b w:val="0"/>
          <w:bCs w:val="0"/>
          <w:spacing w:val="-6"/>
          <w:sz w:val="32"/>
          <w:szCs w:val="32"/>
        </w:rPr>
        <w:t>，核查入档材料的真实性、改造资金的 发放规范性、满意度问卷发放等方向收集，有利于更加全面客观地进行项目评价。</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（5）专家咨询法</w:t>
      </w:r>
    </w:p>
    <w:p>
      <w:pPr>
        <w:keepNext w:val="0"/>
        <w:keepLines w:val="0"/>
        <w:pageBreakBefore w:val="0"/>
        <w:widowControl w:val="0"/>
        <w:suppressLineNumbers w:val="0"/>
        <w:kinsoku/>
        <w:wordWrap/>
        <w:overflowPunct/>
        <w:topLinePunct w:val="0"/>
        <w:autoSpaceDE/>
        <w:autoSpaceDN/>
        <w:bidi w:val="0"/>
        <w:adjustRightInd/>
        <w:snapToGrid/>
        <w:spacing w:line="660" w:lineRule="exact"/>
        <w:ind w:firstLine="640" w:firstLineChars="200"/>
        <w:jc w:val="left"/>
        <w:textAlignment w:val="auto"/>
        <w:rPr>
          <w:rFonts w:ascii="Times New Roman" w:hAnsi="Times New Roman" w:eastAsia="仿宋_GB2312" w:cs="仿宋"/>
          <w:b w:val="0"/>
          <w:bCs w:val="0"/>
          <w:spacing w:val="-6"/>
          <w:sz w:val="32"/>
          <w:szCs w:val="32"/>
        </w:rPr>
      </w:pPr>
      <w:r>
        <w:rPr>
          <w:rFonts w:hint="eastAsia" w:ascii="Times New Roman" w:hAnsi="Times New Roman" w:eastAsia="仿宋_GB2312" w:cs="仿宋_GB2312"/>
          <w:color w:val="000000"/>
          <w:kern w:val="0"/>
          <w:sz w:val="32"/>
          <w:szCs w:val="32"/>
          <w:lang w:val="en-US" w:eastAsia="zh-CN" w:bidi="ar"/>
        </w:rPr>
        <w:t>聘请项目相关专家顾问参与评价工作，提供专业支持，对绩效评价全过程进行业务指导。同时，为有效把握项目特点，得出客观、准确的评价结论，评价工作组将聘请行业专家和绩效专业专家等，通过电话、电子邮件及会议沟通等方式，就该项目的立项、绩效目标、资金管理、组织实施、产出和效益等内容向专家进行咨询和讨论。</w:t>
      </w:r>
    </w:p>
    <w:p>
      <w:pPr>
        <w:pStyle w:val="25"/>
        <w:outlineLvl w:val="1"/>
      </w:pPr>
      <w:bookmarkStart w:id="47" w:name="_Toc19057"/>
      <w:r>
        <w:rPr>
          <w:rFonts w:hint="eastAsia"/>
        </w:rPr>
        <w:t>评价标准</w:t>
      </w:r>
      <w:bookmarkEnd w:id="44"/>
      <w:bookmarkEnd w:id="45"/>
      <w:bookmarkEnd w:id="46"/>
      <w:bookmarkEnd w:id="47"/>
    </w:p>
    <w:p>
      <w:pPr>
        <w:pStyle w:val="23"/>
        <w:ind w:firstLine="640"/>
        <w:rPr>
          <w:rFonts w:hint="eastAsia" w:eastAsia="仿宋_GB2312"/>
          <w:lang w:eastAsia="zh-CN"/>
        </w:rPr>
      </w:pPr>
      <w:r>
        <w:rPr>
          <w:rFonts w:hint="eastAsia"/>
        </w:rPr>
        <w:t>本项目评价指标体系的评价标准按照计划标准、行业标准、历史标准等制定。对于定性指标，一般通过问卷及访谈采集相关数据，在实施过程中运用等级描述法进行考核，通过设置分级标准来体现该指标认可程度的差异。对于定量指标，一般通过公式等方式予以量化，可以准确数量定义、精确衡量并能设定目标值的考核指标</w:t>
      </w:r>
      <w:r>
        <w:rPr>
          <w:rFonts w:hint="eastAsia"/>
          <w:lang w:eastAsia="zh-CN"/>
        </w:rPr>
        <w:t>。</w:t>
      </w:r>
    </w:p>
    <w:p>
      <w:pPr>
        <w:pStyle w:val="25"/>
        <w:outlineLvl w:val="1"/>
      </w:pPr>
      <w:bookmarkStart w:id="48" w:name="_Toc77065992"/>
      <w:bookmarkStart w:id="49" w:name="_Toc76133034"/>
      <w:bookmarkStart w:id="50" w:name="_Toc76132248"/>
      <w:bookmarkStart w:id="51" w:name="_Toc2446"/>
      <w:r>
        <w:rPr>
          <w:rFonts w:hint="eastAsia"/>
        </w:rPr>
        <w:t>绩效评价工作过程</w:t>
      </w:r>
      <w:bookmarkEnd w:id="48"/>
      <w:bookmarkEnd w:id="49"/>
      <w:bookmarkEnd w:id="50"/>
      <w:bookmarkEnd w:id="51"/>
    </w:p>
    <w:p>
      <w:pPr>
        <w:ind w:firstLine="643" w:firstLineChars="200"/>
        <w:jc w:val="left"/>
        <w:rPr>
          <w:rFonts w:ascii="仿宋_GB2312" w:hAnsi="Times New Roman" w:eastAsia="仿宋_GB2312" w:cs="Times New Roman"/>
          <w:b/>
          <w:bCs/>
          <w:color w:val="auto"/>
          <w:sz w:val="32"/>
          <w:szCs w:val="32"/>
        </w:rPr>
      </w:pPr>
      <w:bookmarkStart w:id="52" w:name="_Toc31057"/>
      <w:bookmarkStart w:id="53" w:name="_Toc422410652"/>
      <w:bookmarkStart w:id="54" w:name="_Toc425497332"/>
      <w:bookmarkStart w:id="55" w:name="_Toc422410935"/>
      <w:bookmarkStart w:id="56" w:name="_Toc482709314"/>
      <w:bookmarkStart w:id="57" w:name="_Toc422410863"/>
      <w:bookmarkStart w:id="58" w:name="_Toc455064765"/>
      <w:bookmarkStart w:id="59" w:name="_Toc482709403"/>
      <w:r>
        <w:rPr>
          <w:rFonts w:hint="eastAsia" w:ascii="仿宋_GB2312" w:hAnsi="Times New Roman" w:eastAsia="仿宋_GB2312" w:cs="Times New Roman"/>
          <w:b/>
          <w:bCs/>
          <w:sz w:val="32"/>
          <w:szCs w:val="32"/>
        </w:rPr>
        <w:t>1.人员分工</w:t>
      </w:r>
      <w:bookmarkEnd w:id="52"/>
      <w:bookmarkEnd w:id="53"/>
      <w:bookmarkEnd w:id="54"/>
      <w:bookmarkEnd w:id="55"/>
      <w:bookmarkEnd w:id="56"/>
      <w:bookmarkEnd w:id="57"/>
      <w:bookmarkEnd w:id="58"/>
      <w:bookmarkEnd w:id="59"/>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color w:val="auto"/>
          <w:sz w:val="32"/>
          <w:szCs w:val="32"/>
        </w:rPr>
        <w:t>本次财政支出预算绩效管理项目的组织者为</w:t>
      </w:r>
      <w:r>
        <w:rPr>
          <w:rFonts w:hint="eastAsia" w:ascii="仿宋_GB2312" w:hAnsi="仿宋_GB2312" w:eastAsia="仿宋_GB2312" w:cs="仿宋_GB2312"/>
          <w:color w:val="auto"/>
          <w:sz w:val="32"/>
          <w:szCs w:val="32"/>
          <w:lang w:val="en-US" w:eastAsia="zh-CN"/>
        </w:rPr>
        <w:t>甘肃省人民代表大会常务委员会办公厅</w:t>
      </w:r>
      <w:r>
        <w:rPr>
          <w:rFonts w:hint="eastAsia" w:ascii="仿宋_GB2312" w:hAnsi="Times New Roman" w:eastAsia="仿宋_GB2312" w:cs="Times New Roman"/>
          <w:color w:val="auto"/>
          <w:sz w:val="32"/>
          <w:szCs w:val="32"/>
        </w:rPr>
        <w:t>，受托方为</w:t>
      </w:r>
      <w:r>
        <w:rPr>
          <w:rFonts w:hint="eastAsia" w:ascii="仿宋_GB2312" w:hAnsi="Times New Roman" w:eastAsia="仿宋_GB2312" w:cs="Times New Roman"/>
          <w:color w:val="auto"/>
          <w:sz w:val="32"/>
          <w:szCs w:val="32"/>
          <w:lang w:eastAsia="zh-CN"/>
        </w:rPr>
        <w:t>甘肃祥盛泰财务咨询有限公司</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甘肃祥盛泰财务咨询有限公司</w:t>
      </w:r>
      <w:r>
        <w:rPr>
          <w:rFonts w:hint="eastAsia" w:ascii="仿宋_GB2312" w:hAnsi="Times New Roman" w:eastAsia="仿宋_GB2312" w:cs="Times New Roman"/>
          <w:sz w:val="32"/>
          <w:szCs w:val="32"/>
        </w:rPr>
        <w:t>负责完成评价工作，包括前期调查</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制定工作方案</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调查取数</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撰写评价报告。评价组成员如下表2-2所示。</w:t>
      </w:r>
    </w:p>
    <w:p>
      <w:pPr>
        <w:pStyle w:val="26"/>
        <w:rPr>
          <w:b/>
          <w:bCs/>
          <w:sz w:val="28"/>
          <w:szCs w:val="24"/>
        </w:rPr>
      </w:pPr>
      <w:r>
        <w:rPr>
          <w:b/>
          <w:bCs/>
          <w:sz w:val="28"/>
          <w:szCs w:val="24"/>
        </w:rPr>
        <w:t>表</w:t>
      </w:r>
      <w:r>
        <w:rPr>
          <w:rFonts w:hint="eastAsia"/>
          <w:b/>
          <w:bCs/>
          <w:sz w:val="28"/>
          <w:szCs w:val="24"/>
        </w:rPr>
        <w:t>2</w:t>
      </w:r>
      <w:r>
        <w:rPr>
          <w:b/>
          <w:bCs/>
          <w:sz w:val="28"/>
          <w:szCs w:val="24"/>
        </w:rPr>
        <w:t>-2人员分工安排表</w:t>
      </w:r>
    </w:p>
    <w:p>
      <w:pPr>
        <w:ind w:firstLine="643" w:firstLineChars="200"/>
        <w:jc w:val="left"/>
        <w:rPr>
          <w:rFonts w:hint="eastAsia" w:ascii="仿宋_GB2312" w:hAnsi="Times New Roman" w:eastAsia="仿宋_GB2312" w:cs="Times New Roman"/>
          <w:b/>
          <w:bCs/>
          <w:sz w:val="32"/>
          <w:szCs w:val="32"/>
        </w:rPr>
      </w:pPr>
    </w:p>
    <w:p>
      <w:pPr>
        <w:ind w:firstLine="643" w:firstLineChars="200"/>
        <w:jc w:val="left"/>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w:t>
      </w:r>
      <w:bookmarkStart w:id="60" w:name="_Toc22117"/>
      <w:r>
        <w:rPr>
          <w:rFonts w:hint="eastAsia" w:ascii="仿宋_GB2312" w:hAnsi="Times New Roman" w:eastAsia="仿宋_GB2312" w:cs="Times New Roman"/>
          <w:b/>
          <w:bCs/>
          <w:sz w:val="32"/>
          <w:szCs w:val="32"/>
        </w:rPr>
        <w:t>评价进度</w:t>
      </w:r>
      <w:bookmarkEnd w:id="60"/>
    </w:p>
    <w:p>
      <w:pPr>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自202</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年5月10日</w:t>
      </w:r>
      <w:r>
        <w:rPr>
          <w:rFonts w:hint="eastAsia" w:ascii="仿宋_GB2312" w:hAnsi="Times New Roman" w:eastAsia="仿宋_GB2312" w:cs="Times New Roman"/>
          <w:sz w:val="32"/>
          <w:szCs w:val="32"/>
        </w:rPr>
        <w:t>评价项目启动以来，评价组通过前期调研的充分准备，完成了评价工作方案，明确了评价的目的、方法、原则、指标、标准、社会调查方案等。两个月来，评价组严格按照工作方案，经过了数据采集、问卷调查、抽样实地调研</w:t>
      </w:r>
      <w:r>
        <w:rPr>
          <w:rFonts w:hint="eastAsia" w:ascii="仿宋_GB2312" w:hAnsi="Times New Roman" w:eastAsia="仿宋_GB2312" w:cs="Times New Roman"/>
          <w:color w:val="auto"/>
          <w:sz w:val="32"/>
          <w:szCs w:val="32"/>
        </w:rPr>
        <w:t>及数据复核、访谈、数据分析和报告撰写等环节，顺利完成了</w:t>
      </w:r>
      <w:r>
        <w:rPr>
          <w:rFonts w:hint="eastAsia" w:ascii="仿宋_GB2312" w:hAnsi="Times New Roman" w:eastAsia="仿宋_GB2312" w:cs="Times New Roman"/>
          <w:color w:val="auto"/>
          <w:sz w:val="32"/>
          <w:szCs w:val="32"/>
          <w:lang w:val="en-US" w:eastAsia="zh-CN"/>
        </w:rPr>
        <w:t>甘肃省人民代表大会常务委员会办公厅</w:t>
      </w:r>
      <w:r>
        <w:rPr>
          <w:rFonts w:hint="eastAsia" w:ascii="仿宋_GB2312" w:hAnsi="Times New Roman" w:eastAsia="仿宋_GB2312" w:cs="Times New Roman"/>
          <w:color w:val="auto"/>
          <w:sz w:val="32"/>
          <w:szCs w:val="32"/>
          <w:lang w:eastAsia="zh-CN"/>
        </w:rPr>
        <w:t>2021</w:t>
      </w:r>
      <w:r>
        <w:rPr>
          <w:rFonts w:hint="eastAsia" w:ascii="仿宋_GB2312" w:hAnsi="Times New Roman" w:eastAsia="仿宋_GB2312" w:cs="Times New Roman"/>
          <w:color w:val="auto"/>
          <w:sz w:val="32"/>
          <w:szCs w:val="32"/>
        </w:rPr>
        <w:t>年</w:t>
      </w:r>
      <w:r>
        <w:rPr>
          <w:rFonts w:hint="eastAsia" w:ascii="仿宋_GB2312" w:hAnsi="Times New Roman" w:eastAsia="仿宋_GB2312" w:cs="Times New Roman"/>
          <w:color w:val="auto"/>
          <w:sz w:val="32"/>
          <w:szCs w:val="32"/>
          <w:lang w:val="en-US" w:eastAsia="zh-CN"/>
        </w:rPr>
        <w:t>业务费</w:t>
      </w:r>
      <w:r>
        <w:rPr>
          <w:rFonts w:hint="eastAsia" w:ascii="仿宋_GB2312" w:hAnsi="Times New Roman" w:eastAsia="仿宋_GB2312" w:cs="Times New Roman"/>
          <w:color w:val="auto"/>
          <w:sz w:val="32"/>
          <w:szCs w:val="32"/>
        </w:rPr>
        <w:t>项目绩效评价工作。</w:t>
      </w:r>
    </w:p>
    <w:p>
      <w:pPr>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（1）前期准备（202</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年5月10日-5月20日）</w:t>
      </w:r>
    </w:p>
    <w:p>
      <w:pPr>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搜集专项资金的相关资料，全面了解项目基本情况，与相关负责人员进行交流与探讨，研发设计完整的绩效指标体系、基础表和调研与访谈方案，形成工作方案，和</w:t>
      </w:r>
      <w:r>
        <w:rPr>
          <w:rFonts w:hint="eastAsia" w:ascii="仿宋_GB2312" w:hAnsi="仿宋_GB2312" w:eastAsia="仿宋_GB2312" w:cs="仿宋_GB2312"/>
          <w:color w:val="auto"/>
          <w:sz w:val="32"/>
          <w:szCs w:val="32"/>
        </w:rPr>
        <w:t>甘肃</w:t>
      </w:r>
      <w:r>
        <w:rPr>
          <w:rFonts w:hint="eastAsia" w:ascii="仿宋_GB2312" w:hAnsi="仿宋_GB2312" w:eastAsia="仿宋_GB2312" w:cs="仿宋_GB2312"/>
          <w:color w:val="auto"/>
          <w:sz w:val="32"/>
          <w:szCs w:val="32"/>
          <w:lang w:eastAsia="zh-CN"/>
        </w:rPr>
        <w:t>甘肃省人民代表大会常务委员会办公厅</w:t>
      </w:r>
      <w:r>
        <w:rPr>
          <w:rFonts w:hint="eastAsia" w:ascii="仿宋_GB2312" w:hAnsi="Times New Roman" w:eastAsia="仿宋_GB2312" w:cs="Times New Roman"/>
          <w:color w:val="auto"/>
          <w:sz w:val="32"/>
          <w:szCs w:val="32"/>
        </w:rPr>
        <w:t>沟通确认合理可行后定稿。</w:t>
      </w:r>
    </w:p>
    <w:p>
      <w:pPr>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（2）组织实施（202</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年5月25日-6月10日）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评价小组到实地进行采集数据，完善评价基础资料。评价小组工作人员对基础数据进行查验，就项目实际情况等做深入了解，并开展访谈、合规性检查、问卷等调研。</w:t>
      </w:r>
    </w:p>
    <w:p>
      <w:pPr>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（3）分析评价（202</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年6月10日-6月15日）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根据评价标准量化打分，撰写绩效评价报告初稿：汇总分析评价数据，依据制订的评价标准和打分规则，对投入、产出、绩效进行量化打分，并分析专项资金的经济性、效率性和效益性，撰写绩效评价报告，针对存在问题提出改进建议。</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2）报告修改定</w:t>
      </w:r>
      <w:r>
        <w:rPr>
          <w:rFonts w:hint="eastAsia" w:ascii="仿宋_GB2312" w:hAnsi="Times New Roman" w:eastAsia="仿宋_GB2312" w:cs="Times New Roman"/>
          <w:color w:val="auto"/>
          <w:sz w:val="32"/>
          <w:szCs w:val="32"/>
        </w:rPr>
        <w:t>稿阶段（202</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年6月15日-6月22日）：</w:t>
      </w:r>
      <w:r>
        <w:rPr>
          <w:rFonts w:hint="eastAsia" w:ascii="仿宋_GB2312" w:hAnsi="Times New Roman" w:eastAsia="仿宋_GB2312" w:cs="Times New Roman"/>
          <w:sz w:val="32"/>
          <w:szCs w:val="32"/>
        </w:rPr>
        <w:t>项目组结合多方意见对报告内容进行调整、修改，形成绩效评价报告终稿。</w:t>
      </w:r>
    </w:p>
    <w:p>
      <w:pPr>
        <w:spacing w:line="500" w:lineRule="exact"/>
        <w:jc w:val="center"/>
        <w:rPr>
          <w:rFonts w:hint="eastAsia" w:ascii="Times New Roman" w:hAnsi="Times New Roman" w:eastAsia="仿宋_GB2312"/>
          <w:b/>
          <w:bCs/>
          <w:sz w:val="24"/>
        </w:rPr>
      </w:pPr>
    </w:p>
    <w:p>
      <w:pPr>
        <w:spacing w:line="500" w:lineRule="exact"/>
        <w:jc w:val="center"/>
        <w:rPr>
          <w:rFonts w:ascii="Times New Roman" w:hAnsi="Times New Roman" w:eastAsia="仿宋_GB2312"/>
          <w:sz w:val="28"/>
          <w:szCs w:val="28"/>
        </w:rPr>
      </w:pPr>
      <w:r>
        <w:rPr>
          <w:rFonts w:hint="eastAsia" w:ascii="Times New Roman" w:hAnsi="Times New Roman" w:eastAsia="仿宋_GB2312"/>
          <w:b/>
          <w:bCs/>
          <w:sz w:val="24"/>
        </w:rPr>
        <w:t>表</w:t>
      </w:r>
      <w:r>
        <w:rPr>
          <w:rFonts w:hint="eastAsia" w:ascii="Times New Roman" w:hAnsi="Times New Roman" w:eastAsia="仿宋_GB2312"/>
          <w:b/>
          <w:bCs/>
          <w:sz w:val="24"/>
          <w:lang w:val="en-US" w:eastAsia="zh-CN"/>
        </w:rPr>
        <w:t>2</w:t>
      </w:r>
      <w:r>
        <w:rPr>
          <w:rFonts w:hint="eastAsia" w:ascii="Times New Roman" w:hAnsi="Times New Roman" w:eastAsia="仿宋_GB2312"/>
          <w:b/>
          <w:bCs/>
          <w:sz w:val="24"/>
        </w:rPr>
        <w:t>-</w:t>
      </w:r>
      <w:r>
        <w:rPr>
          <w:rFonts w:hint="eastAsia" w:ascii="Times New Roman" w:hAnsi="Times New Roman" w:eastAsia="仿宋_GB2312"/>
          <w:b/>
          <w:bCs/>
          <w:sz w:val="24"/>
          <w:lang w:val="en-US" w:eastAsia="zh-CN"/>
        </w:rPr>
        <w:t>3</w:t>
      </w:r>
      <w:r>
        <w:rPr>
          <w:rFonts w:hint="eastAsia" w:ascii="Times New Roman" w:hAnsi="Times New Roman" w:eastAsia="仿宋_GB2312"/>
          <w:b/>
          <w:bCs/>
          <w:sz w:val="24"/>
        </w:rPr>
        <w:t xml:space="preserve"> 各阶段实施内容</w:t>
      </w:r>
    </w:p>
    <w:tbl>
      <w:tblPr>
        <w:tblStyle w:val="14"/>
        <w:tblW w:w="8578" w:type="dxa"/>
        <w:tblInd w:w="0" w:type="dxa"/>
        <w:tblLayout w:type="fixed"/>
        <w:tblCellMar>
          <w:top w:w="0" w:type="dxa"/>
          <w:left w:w="108" w:type="dxa"/>
          <w:bottom w:w="0" w:type="dxa"/>
          <w:right w:w="108" w:type="dxa"/>
        </w:tblCellMar>
      </w:tblPr>
      <w:tblGrid>
        <w:gridCol w:w="2018"/>
        <w:gridCol w:w="6560"/>
      </w:tblGrid>
      <w:tr>
        <w:tblPrEx>
          <w:tblLayout w:type="fixed"/>
          <w:tblCellMar>
            <w:top w:w="0" w:type="dxa"/>
            <w:left w:w="108" w:type="dxa"/>
            <w:bottom w:w="0" w:type="dxa"/>
            <w:right w:w="108" w:type="dxa"/>
          </w:tblCellMar>
        </w:tblPrEx>
        <w:trPr>
          <w:trHeight w:val="459" w:hRule="atLeast"/>
          <w:tblHeader/>
        </w:trPr>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b/>
                <w:bCs/>
                <w:color w:val="404040"/>
                <w:sz w:val="24"/>
                <w:szCs w:val="24"/>
              </w:rPr>
            </w:pPr>
            <w:r>
              <w:rPr>
                <w:rStyle w:val="30"/>
                <w:rFonts w:hint="default" w:ascii="Times New Roman" w:hAnsi="Times New Roman" w:eastAsia="仿宋_GB2312" w:cs="Times New Roman"/>
                <w:b/>
                <w:bCs/>
                <w:sz w:val="24"/>
                <w:szCs w:val="24"/>
                <w:lang w:bidi="ar"/>
              </w:rPr>
              <w:t>阶段</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b/>
                <w:bCs/>
                <w:color w:val="404040"/>
                <w:sz w:val="24"/>
                <w:szCs w:val="24"/>
              </w:rPr>
            </w:pPr>
            <w:r>
              <w:rPr>
                <w:rStyle w:val="30"/>
                <w:rFonts w:hint="default" w:ascii="Times New Roman" w:hAnsi="Times New Roman" w:eastAsia="仿宋_GB2312" w:cs="Times New Roman"/>
                <w:b/>
                <w:bCs/>
                <w:sz w:val="24"/>
                <w:szCs w:val="24"/>
                <w:lang w:bidi="ar"/>
              </w:rPr>
              <w:t>实施内容</w:t>
            </w:r>
          </w:p>
        </w:tc>
      </w:tr>
      <w:tr>
        <w:tblPrEx>
          <w:tblLayout w:type="fixed"/>
          <w:tblCellMar>
            <w:top w:w="0" w:type="dxa"/>
            <w:left w:w="108" w:type="dxa"/>
            <w:bottom w:w="0" w:type="dxa"/>
            <w:right w:w="108" w:type="dxa"/>
          </w:tblCellMar>
        </w:tblPrEx>
        <w:trPr>
          <w:trHeight w:val="459" w:hRule="atLeast"/>
        </w:trPr>
        <w:tc>
          <w:tcPr>
            <w:tcW w:w="2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准备阶段</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成立评价组</w:t>
            </w:r>
          </w:p>
        </w:tc>
      </w:tr>
      <w:tr>
        <w:tblPrEx>
          <w:tblLayout w:type="fixed"/>
          <w:tblCellMar>
            <w:top w:w="0" w:type="dxa"/>
            <w:left w:w="108" w:type="dxa"/>
            <w:bottom w:w="0" w:type="dxa"/>
            <w:right w:w="108" w:type="dxa"/>
          </w:tblCellMar>
        </w:tblPrEx>
        <w:trPr>
          <w:trHeight w:val="459" w:hRule="atLeast"/>
        </w:trPr>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000000"/>
                <w:sz w:val="24"/>
                <w:szCs w:val="24"/>
              </w:rPr>
            </w:pP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制定评价总体工作方案思路</w:t>
            </w:r>
          </w:p>
        </w:tc>
      </w:tr>
      <w:tr>
        <w:tblPrEx>
          <w:tblLayout w:type="fixed"/>
          <w:tblCellMar>
            <w:top w:w="0" w:type="dxa"/>
            <w:left w:w="108" w:type="dxa"/>
            <w:bottom w:w="0" w:type="dxa"/>
            <w:right w:w="108" w:type="dxa"/>
          </w:tblCellMar>
        </w:tblPrEx>
        <w:trPr>
          <w:trHeight w:val="459" w:hRule="atLeast"/>
        </w:trPr>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000000"/>
                <w:sz w:val="24"/>
                <w:szCs w:val="24"/>
              </w:rPr>
            </w:pP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明确评价工作任务</w:t>
            </w:r>
          </w:p>
        </w:tc>
      </w:tr>
      <w:tr>
        <w:tblPrEx>
          <w:tblLayout w:type="fixed"/>
          <w:tblCellMar>
            <w:top w:w="0" w:type="dxa"/>
            <w:left w:w="108" w:type="dxa"/>
            <w:bottom w:w="0" w:type="dxa"/>
            <w:right w:w="108" w:type="dxa"/>
          </w:tblCellMar>
        </w:tblPrEx>
        <w:trPr>
          <w:trHeight w:val="474" w:hRule="atLeast"/>
        </w:trPr>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000000"/>
                <w:sz w:val="24"/>
                <w:szCs w:val="24"/>
              </w:rPr>
            </w:pP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资料收集、整理与分析</w:t>
            </w:r>
          </w:p>
        </w:tc>
      </w:tr>
      <w:tr>
        <w:tblPrEx>
          <w:tblLayout w:type="fixed"/>
          <w:tblCellMar>
            <w:top w:w="0" w:type="dxa"/>
            <w:left w:w="108" w:type="dxa"/>
            <w:bottom w:w="0" w:type="dxa"/>
            <w:right w:w="108" w:type="dxa"/>
          </w:tblCellMar>
        </w:tblPrEx>
        <w:trPr>
          <w:trHeight w:val="474" w:hRule="atLeast"/>
        </w:trPr>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000000"/>
                <w:sz w:val="24"/>
                <w:szCs w:val="24"/>
              </w:rPr>
            </w:pP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工作方案制定，方案初稿形成</w:t>
            </w:r>
          </w:p>
        </w:tc>
      </w:tr>
      <w:tr>
        <w:tblPrEx>
          <w:tblLayout w:type="fixed"/>
          <w:tblCellMar>
            <w:top w:w="0" w:type="dxa"/>
            <w:left w:w="108" w:type="dxa"/>
            <w:bottom w:w="0" w:type="dxa"/>
            <w:right w:w="108" w:type="dxa"/>
          </w:tblCellMar>
        </w:tblPrEx>
        <w:trPr>
          <w:trHeight w:val="474" w:hRule="atLeast"/>
        </w:trPr>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000000"/>
                <w:sz w:val="24"/>
                <w:szCs w:val="24"/>
              </w:rPr>
            </w:pP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审核工作方案，方案修改及定稿</w:t>
            </w:r>
          </w:p>
        </w:tc>
      </w:tr>
      <w:tr>
        <w:tblPrEx>
          <w:tblLayout w:type="fixed"/>
          <w:tblCellMar>
            <w:top w:w="0" w:type="dxa"/>
            <w:left w:w="108" w:type="dxa"/>
            <w:bottom w:w="0" w:type="dxa"/>
            <w:right w:w="108" w:type="dxa"/>
          </w:tblCellMar>
        </w:tblPrEx>
        <w:trPr>
          <w:trHeight w:val="474" w:hRule="atLeast"/>
        </w:trPr>
        <w:tc>
          <w:tcPr>
            <w:tcW w:w="2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实施阶段</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全面实地调研，数据采集</w:t>
            </w:r>
          </w:p>
        </w:tc>
      </w:tr>
      <w:tr>
        <w:tblPrEx>
          <w:tblLayout w:type="fixed"/>
          <w:tblCellMar>
            <w:top w:w="0" w:type="dxa"/>
            <w:left w:w="108" w:type="dxa"/>
            <w:bottom w:w="0" w:type="dxa"/>
            <w:right w:w="108" w:type="dxa"/>
          </w:tblCellMar>
        </w:tblPrEx>
        <w:trPr>
          <w:trHeight w:val="433" w:hRule="atLeast"/>
        </w:trPr>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000000"/>
                <w:sz w:val="24"/>
                <w:szCs w:val="24"/>
              </w:rPr>
            </w:pP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调研资料梳理、分析提出初步评价意见</w:t>
            </w:r>
          </w:p>
        </w:tc>
      </w:tr>
      <w:tr>
        <w:tblPrEx>
          <w:tblLayout w:type="fixed"/>
          <w:tblCellMar>
            <w:top w:w="0" w:type="dxa"/>
            <w:left w:w="108" w:type="dxa"/>
            <w:bottom w:w="0" w:type="dxa"/>
            <w:right w:w="108" w:type="dxa"/>
          </w:tblCellMar>
        </w:tblPrEx>
        <w:trPr>
          <w:trHeight w:val="415" w:hRule="atLeast"/>
        </w:trPr>
        <w:tc>
          <w:tcPr>
            <w:tcW w:w="2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报告撰写与质控</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数据分析、打分、报告撰写并形成初稿</w:t>
            </w:r>
          </w:p>
        </w:tc>
      </w:tr>
      <w:tr>
        <w:tblPrEx>
          <w:tblLayout w:type="fixed"/>
          <w:tblCellMar>
            <w:top w:w="0" w:type="dxa"/>
            <w:left w:w="108" w:type="dxa"/>
            <w:bottom w:w="0" w:type="dxa"/>
            <w:right w:w="108" w:type="dxa"/>
          </w:tblCellMar>
        </w:tblPrEx>
        <w:trPr>
          <w:trHeight w:val="474" w:hRule="atLeast"/>
        </w:trPr>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000000"/>
                <w:sz w:val="24"/>
                <w:szCs w:val="24"/>
              </w:rPr>
            </w:pP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内部质控及修改、定稿</w:t>
            </w:r>
          </w:p>
        </w:tc>
      </w:tr>
      <w:tr>
        <w:tblPrEx>
          <w:tblLayout w:type="fixed"/>
          <w:tblCellMar>
            <w:top w:w="0" w:type="dxa"/>
            <w:left w:w="108" w:type="dxa"/>
            <w:bottom w:w="0" w:type="dxa"/>
            <w:right w:w="108" w:type="dxa"/>
          </w:tblCellMar>
        </w:tblPrEx>
        <w:trPr>
          <w:trHeight w:val="499" w:hRule="atLeast"/>
        </w:trPr>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反馈提交</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31"/>
                <w:rFonts w:hint="default" w:ascii="Times New Roman" w:hAnsi="Times New Roman" w:eastAsia="仿宋_GB2312" w:cs="Times New Roman"/>
                <w:sz w:val="24"/>
                <w:szCs w:val="24"/>
                <w:lang w:val="en-US" w:eastAsia="zh-CN" w:bidi="ar"/>
              </w:rPr>
            </w:pPr>
            <w:r>
              <w:rPr>
                <w:rStyle w:val="31"/>
                <w:rFonts w:hint="eastAsia" w:ascii="Times New Roman" w:hAnsi="Times New Roman" w:eastAsia="仿宋_GB2312" w:cs="Times New Roman"/>
                <w:sz w:val="24"/>
                <w:szCs w:val="24"/>
                <w:lang w:val="en-US" w:eastAsia="zh-CN" w:bidi="ar"/>
              </w:rPr>
              <w:t>与委托方及评价方反馈、修订、提交</w:t>
            </w:r>
          </w:p>
        </w:tc>
      </w:tr>
    </w:tbl>
    <w:p>
      <w:pPr>
        <w:pStyle w:val="24"/>
        <w:keepNext w:val="0"/>
        <w:keepLines w:val="0"/>
        <w:pageBreakBefore w:val="0"/>
        <w:widowControl/>
        <w:numPr>
          <w:ilvl w:val="0"/>
          <w:numId w:val="0"/>
        </w:numPr>
        <w:kinsoku/>
        <w:wordWrap/>
        <w:overflowPunct/>
        <w:topLinePunct w:val="0"/>
        <w:autoSpaceDE/>
        <w:autoSpaceDN/>
        <w:bidi w:val="0"/>
        <w:spacing w:line="660" w:lineRule="exact"/>
        <w:ind w:left="709" w:leftChars="0"/>
        <w:textAlignment w:val="auto"/>
        <w:outlineLvl w:val="1"/>
        <w:rPr>
          <w:rFonts w:hint="eastAsia" w:ascii="Times New Roman" w:hAnsi="Times New Roman" w:eastAsia="仿宋_GB2312" w:cs="仿宋_GB2312"/>
          <w:b/>
          <w:bCs/>
          <w:lang w:val="en-US" w:eastAsia="zh-CN"/>
        </w:rPr>
      </w:pPr>
      <w:bookmarkStart w:id="61" w:name="_Toc5592"/>
      <w:bookmarkStart w:id="62" w:name="_Toc8186"/>
      <w:bookmarkStart w:id="63" w:name="_Toc76132249"/>
      <w:bookmarkStart w:id="64" w:name="_Toc76133035"/>
      <w:bookmarkStart w:id="65" w:name="_Toc77065993"/>
      <w:r>
        <w:rPr>
          <w:rFonts w:hint="eastAsia" w:ascii="Times New Roman" w:hAnsi="Times New Roman" w:eastAsia="仿宋_GB2312" w:cs="仿宋_GB2312"/>
          <w:b/>
          <w:bCs/>
          <w:lang w:val="en-US" w:eastAsia="zh-CN"/>
        </w:rPr>
        <w:t>（六）评价重点难点</w:t>
      </w:r>
      <w:bookmarkEnd w:id="61"/>
      <w:bookmarkEnd w:id="62"/>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1</w:t>
      </w:r>
      <w:r>
        <w:rPr>
          <w:rFonts w:hint="eastAsia" w:ascii="Times New Roman" w:hAnsi="Times New Roman" w:eastAsia="仿宋_GB2312"/>
          <w:lang w:val="en-US" w:eastAsia="zh-CN"/>
        </w:rPr>
        <w:t xml:space="preserve">. </w:t>
      </w:r>
      <w:r>
        <w:rPr>
          <w:rFonts w:hint="default" w:ascii="Times New Roman" w:hAnsi="Times New Roman" w:eastAsia="仿宋_GB2312"/>
          <w:lang w:val="en-US" w:eastAsia="zh-CN"/>
        </w:rPr>
        <w:t>总体要求</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 xml:space="preserve">第一、提升评价政治站位，服务预算管理工作。进一步增强使命感和责任感，始终站在财政改革发展高度，紧紧围绕预算管理需要，体现全面实施预算绩效管理各项要求。突出问题导向，通过评价发现和剖析项目实施中存在的问题， 着力分析项目立项目标合理性、投入经济性和边界清晰性。 </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第二、以最新绩效管理要求为引领，结合全周期优化评价流程。</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以《项目支出绩效评价管理办法》等相关领域的最新项目和改革举措引领评价指标设计和评价结论的凝练，做到评价有依据、有灵魂。优化调整评价业务规范和评价程序，建立疑难和共性问题会商解决和经验共享机制，综合运用科学的评价方法，以事实为依据，客观公正地开展绩效评价工作。另外， 在评价过程中，加强与财政部相关司局、项目单位的信息沟通。</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第三，创新评价组织方式。充分考虑疫情风险对评价工作可能产生的影响，突出重点、合理配置评价资源和控制进度。创新评价组织方式，在评价方案和 评价结论内控审核中，将引入部门预算部门领导参与，一方面广泛听取部门意见，寻求评价“最大公约数”，另一方面 发挥财政评价对部门评价、自评价的引领示范作用。结合政府采购工作的最新要求，积极谋划在线上开展协作机构采购工作，尽快落实协作机构并组织协调全面开工。</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第四、充分利用信息技术手段推进评价工作，在符合保密要求的前提下，通过网络会议、微信群，采取“网上办、错峰办”等形式完成评价前期调研、方案论证工作，尽量减少人员聚集，统筹解决好疫情防控与评价工作需要人员集中的矛盾。</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2</w:t>
      </w:r>
      <w:r>
        <w:rPr>
          <w:rFonts w:hint="eastAsia" w:ascii="Times New Roman" w:hAnsi="Times New Roman" w:eastAsia="仿宋_GB2312"/>
          <w:lang w:val="en-US" w:eastAsia="zh-CN"/>
        </w:rPr>
        <w:t xml:space="preserve">. </w:t>
      </w:r>
      <w:r>
        <w:rPr>
          <w:rFonts w:hint="default" w:ascii="Times New Roman" w:hAnsi="Times New Roman" w:eastAsia="仿宋_GB2312"/>
          <w:lang w:val="en-US" w:eastAsia="zh-CN"/>
        </w:rPr>
        <w:t>组织工作方案的制定</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围绕本次评价的工作流程，我司拟派精兵强将，组成绩效价工作组，分为评价项目组和专家顾问组，专家顾问组视具体情况直接充实评价小组或提供专项支持等。评价组由主评人担任组长，总体负责整个项目工作，包括项目整体构思、工作协调、人员配置等工作。评价组下设 2 个小组，每一个小组选配 2-3 名助手参与基础性工作。</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①确定绩效评价对象和范围；</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②下达绩效评价进驻通知；</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③研究制订绩效评价工作方案；</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④收集绩效评价相关数据资料，并进行现场调研、座谈；</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⑤核实有关情况，分析形成初步结论；</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⑥与被评价部门（单位）交换意见；</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⑦综合分析并形成最终结论；</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⑧提交绩效评价报告；</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⑨建立绩效评价档案。</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3</w:t>
      </w:r>
      <w:r>
        <w:rPr>
          <w:rFonts w:hint="eastAsia" w:ascii="Times New Roman" w:hAnsi="Times New Roman" w:eastAsia="仿宋_GB2312"/>
          <w:lang w:val="en-US" w:eastAsia="zh-CN"/>
        </w:rPr>
        <w:t xml:space="preserve"> .</w:t>
      </w:r>
      <w:r>
        <w:rPr>
          <w:rFonts w:hint="default" w:ascii="Times New Roman" w:hAnsi="Times New Roman" w:eastAsia="仿宋_GB2312"/>
          <w:lang w:val="en-US" w:eastAsia="zh-CN"/>
        </w:rPr>
        <w:t>管理制度的制定和执行：</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（1）职业道德规范制度：我司遵守独立、客观和公正的第三方职业道德规范，并制定了十不准职业道德规范办法。</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（2）执业质量控制制度：公司形成了一套基本完整的项目库、指标库和目标库，和案例库，逐步形成公司标准化的绩效评价业务质量体系和控制体系，如三级复核制。</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（3）职业培训制度：公司统一外出培训等。</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（4）人员考核制度：公司具有先进的人员考核制度，绩效考核也是我公司一项重要的业务，为国内多家企业实施绩效考核制度的设计和实施及培训。</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（5）财务管理制度：严格执行企业财务和管理制度，形成了面向全国布局的财务管理制度体系。</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6）制度执行。本次项目绩效评价遵循客观公正原则，坚持公平、公开、公正原则、客观性原则以及回避性原则。评价机构组织内部形成有效的内部控制机制和程序，从根源上保证绩效评价过程、结果的客观性和准确性。</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本绩效评价工作实行全过程的内部管理程序。</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1）价值中立原则及控制程序。要求评价人尊重事实和公共价值标准。即事实是绩效评价的唯一依据，评价组不将个人的价值标准带入到绩效评价中去，避免用主观判断替代客观事实。要求绩效评价的结果量化，用分数说话，不是笼统给定一个合格或不合格的定性结论。</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2）公开、公正、公平原则及控制程序。绩效评价的过程公开；评价过程尊重事实，凡是要求被评价人提供的资料都必须经过核实；评价结果透明，评价结果应当征求被评价人意见。对于被评价人有不同意见的，专家组通过举办听证会等方式，评价其意见的合理性，但最终裁决权归专家组所有，评价结果公开，即通过书面报告向有关部门、政府和社会报告评价结果。</w:t>
      </w:r>
    </w:p>
    <w:p>
      <w:pPr>
        <w:pStyle w:val="23"/>
      </w:pPr>
      <w:r>
        <w:rPr>
          <w:rFonts w:hint="default" w:ascii="Times New Roman" w:hAnsi="Times New Roman" w:eastAsia="仿宋_GB2312"/>
          <w:lang w:val="en-US" w:eastAsia="zh-CN"/>
        </w:rPr>
        <w:t>3）回避原则及控制程序，坚持“财政部门组织实施绩效评价，专家参与评价”的制度。即绩效评价结论应以评价数据、设定的指标和标准为依据，由专家组作出客观量化的评价结论，体现评价结果的公正性和权威性；有利害关系的人必须回避，应回避人员更包括被评价对象及与评价对象有利害关系的专家。</w:t>
      </w:r>
    </w:p>
    <w:p>
      <w:pPr>
        <w:pStyle w:val="24"/>
        <w:outlineLvl w:val="0"/>
      </w:pPr>
      <w:bookmarkStart w:id="66" w:name="_Toc17863"/>
      <w:r>
        <w:rPr>
          <w:rFonts w:hint="eastAsia"/>
        </w:rPr>
        <w:t>综合评价情况及评价结论</w:t>
      </w:r>
      <w:bookmarkEnd w:id="63"/>
      <w:bookmarkEnd w:id="64"/>
      <w:bookmarkEnd w:id="65"/>
      <w:bookmarkEnd w:id="66"/>
    </w:p>
    <w:p>
      <w:pPr>
        <w:pStyle w:val="25"/>
        <w:outlineLvl w:val="1"/>
      </w:pPr>
      <w:bookmarkStart w:id="67" w:name="_Toc77065994"/>
      <w:bookmarkStart w:id="68" w:name="_Toc25218"/>
      <w:bookmarkStart w:id="69" w:name="_Toc76133036"/>
      <w:bookmarkStart w:id="70" w:name="_Toc76132250"/>
      <w:r>
        <w:t>综合评价情况及评价结论</w:t>
      </w:r>
      <w:bookmarkEnd w:id="67"/>
      <w:bookmarkEnd w:id="68"/>
      <w:bookmarkEnd w:id="69"/>
      <w:bookmarkEnd w:id="70"/>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运用评价组研发的评价指标体系及评分标准，通过数据采集、问卷调查及访谈</w:t>
      </w:r>
      <w:r>
        <w:rPr>
          <w:rFonts w:hint="eastAsia" w:ascii="仿宋_GB2312" w:hAnsi="Times New Roman" w:eastAsia="仿宋_GB2312" w:cs="Times New Roman"/>
          <w:color w:val="auto"/>
          <w:sz w:val="32"/>
          <w:szCs w:val="32"/>
        </w:rPr>
        <w:t>，对</w:t>
      </w:r>
      <w:r>
        <w:rPr>
          <w:rFonts w:hint="eastAsia" w:ascii="仿宋_GB2312" w:hAnsi="Times New Roman" w:eastAsia="仿宋_GB2312" w:cs="Times New Roman"/>
          <w:color w:val="auto"/>
          <w:sz w:val="32"/>
          <w:szCs w:val="32"/>
          <w:lang w:eastAsia="zh-CN"/>
        </w:rPr>
        <w:t>2021</w:t>
      </w:r>
      <w:r>
        <w:rPr>
          <w:rFonts w:hint="eastAsia" w:ascii="仿宋_GB2312" w:hAnsi="Times New Roman" w:eastAsia="仿宋_GB2312" w:cs="Times New Roman"/>
          <w:color w:val="auto"/>
          <w:sz w:val="32"/>
          <w:szCs w:val="32"/>
        </w:rPr>
        <w:t>年</w:t>
      </w:r>
      <w:r>
        <w:rPr>
          <w:rFonts w:hint="eastAsia" w:ascii="仿宋_GB2312" w:hAnsi="Times New Roman" w:eastAsia="仿宋_GB2312" w:cs="Times New Roman"/>
          <w:color w:val="auto"/>
          <w:sz w:val="32"/>
          <w:szCs w:val="32"/>
          <w:lang w:val="en-US" w:eastAsia="zh-CN"/>
        </w:rPr>
        <w:t>甘肃省人民代表大会常务委员会办公厅业务费项目</w:t>
      </w:r>
      <w:r>
        <w:rPr>
          <w:rFonts w:hint="eastAsia" w:ascii="仿宋_GB2312" w:hAnsi="Times New Roman" w:eastAsia="仿宋_GB2312" w:cs="Times New Roman"/>
          <w:color w:val="auto"/>
          <w:sz w:val="32"/>
          <w:szCs w:val="32"/>
        </w:rPr>
        <w:t>进</w:t>
      </w:r>
      <w:r>
        <w:rPr>
          <w:rFonts w:hint="eastAsia" w:ascii="仿宋_GB2312" w:hAnsi="Times New Roman" w:eastAsia="仿宋_GB2312" w:cs="Times New Roman"/>
          <w:sz w:val="32"/>
          <w:szCs w:val="32"/>
        </w:rPr>
        <w:t>行客观评价，最终评分结果：总得分为</w:t>
      </w:r>
      <w:r>
        <w:rPr>
          <w:rFonts w:hint="eastAsia" w:ascii="仿宋_GB2312" w:hAnsi="Times New Roman" w:eastAsia="仿宋_GB2312" w:cs="Times New Roman"/>
          <w:sz w:val="32"/>
          <w:szCs w:val="32"/>
          <w:lang w:val="en-US" w:eastAsia="zh-CN"/>
        </w:rPr>
        <w:t>98</w:t>
      </w:r>
      <w:r>
        <w:rPr>
          <w:rFonts w:hint="eastAsia" w:ascii="仿宋_GB2312" w:hAnsi="Times New Roman" w:eastAsia="仿宋_GB2312" w:cs="Times New Roman"/>
          <w:sz w:val="32"/>
          <w:szCs w:val="32"/>
        </w:rPr>
        <w:t>分，等级为“优”。</w:t>
      </w:r>
      <w:r>
        <w:rPr>
          <w:rFonts w:hint="eastAsia" w:ascii="仿宋_GB2312" w:hAnsi="Times New Roman" w:eastAsia="仿宋_GB2312" w:cs="Times New Roman"/>
          <w:sz w:val="32"/>
          <w:szCs w:val="32"/>
          <w:lang w:eastAsia="zh-CN"/>
        </w:rPr>
        <w:t>2021</w:t>
      </w:r>
      <w:r>
        <w:rPr>
          <w:rFonts w:hint="eastAsia" w:ascii="仿宋_GB2312" w:hAnsi="Times New Roman" w:eastAsia="仿宋_GB2312" w:cs="Times New Roman"/>
          <w:sz w:val="32"/>
          <w:szCs w:val="32"/>
        </w:rPr>
        <w:t>年</w:t>
      </w:r>
      <w:r>
        <w:rPr>
          <w:rFonts w:hint="eastAsia" w:ascii="仿宋_GB2312" w:hAnsi="Times New Roman" w:eastAsia="仿宋_GB2312" w:cs="Times New Roman"/>
          <w:color w:val="auto"/>
          <w:sz w:val="32"/>
          <w:szCs w:val="32"/>
          <w:lang w:val="en-US" w:eastAsia="zh-CN"/>
        </w:rPr>
        <w:t>业务费</w:t>
      </w:r>
      <w:r>
        <w:rPr>
          <w:rFonts w:hint="eastAsia" w:ascii="仿宋_GB2312" w:hAnsi="Times New Roman" w:eastAsia="仿宋_GB2312" w:cs="Times New Roman"/>
          <w:color w:val="auto"/>
          <w:sz w:val="32"/>
          <w:szCs w:val="32"/>
        </w:rPr>
        <w:t>项</w:t>
      </w:r>
      <w:r>
        <w:rPr>
          <w:rFonts w:hint="eastAsia" w:ascii="仿宋_GB2312" w:hAnsi="Times New Roman" w:eastAsia="仿宋_GB2312" w:cs="Times New Roman"/>
          <w:sz w:val="32"/>
          <w:szCs w:val="32"/>
        </w:rPr>
        <w:t>目绩效评价指标得分情况详见表3-1。</w:t>
      </w:r>
    </w:p>
    <w:p>
      <w:pPr>
        <w:pStyle w:val="26"/>
        <w:rPr>
          <w:b/>
          <w:bCs/>
          <w:sz w:val="28"/>
          <w:szCs w:val="24"/>
        </w:rPr>
      </w:pPr>
      <w:r>
        <w:rPr>
          <w:b/>
          <w:bCs/>
          <w:sz w:val="28"/>
          <w:szCs w:val="24"/>
        </w:rPr>
        <w:t>表</w:t>
      </w:r>
      <w:r>
        <w:rPr>
          <w:rFonts w:hint="eastAsia"/>
          <w:b/>
          <w:bCs/>
          <w:sz w:val="28"/>
          <w:szCs w:val="24"/>
        </w:rPr>
        <w:t>3</w:t>
      </w:r>
      <w:r>
        <w:rPr>
          <w:b/>
          <w:bCs/>
          <w:sz w:val="28"/>
          <w:szCs w:val="24"/>
        </w:rPr>
        <w:t>-1绩效评价指标得分情况汇总表</w:t>
      </w:r>
    </w:p>
    <w:tbl>
      <w:tblPr>
        <w:tblStyle w:val="14"/>
        <w:tblW w:w="852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78"/>
        <w:gridCol w:w="1983"/>
        <w:gridCol w:w="1983"/>
        <w:gridCol w:w="1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tblHeader/>
          <w:jc w:val="center"/>
        </w:trPr>
        <w:tc>
          <w:tcPr>
            <w:tcW w:w="2578" w:type="dxa"/>
            <w:shd w:val="clear" w:color="auto" w:fill="auto"/>
            <w:vAlign w:val="center"/>
          </w:tcPr>
          <w:p>
            <w:pPr>
              <w:pStyle w:val="26"/>
            </w:pPr>
            <w:r>
              <w:t>一级指标</w:t>
            </w:r>
          </w:p>
        </w:tc>
        <w:tc>
          <w:tcPr>
            <w:tcW w:w="1983" w:type="dxa"/>
            <w:shd w:val="clear" w:color="auto" w:fill="auto"/>
            <w:vAlign w:val="center"/>
          </w:tcPr>
          <w:p>
            <w:pPr>
              <w:pStyle w:val="26"/>
            </w:pPr>
            <w:r>
              <w:t>权重</w:t>
            </w:r>
          </w:p>
        </w:tc>
        <w:tc>
          <w:tcPr>
            <w:tcW w:w="1983" w:type="dxa"/>
            <w:shd w:val="clear" w:color="auto" w:fill="auto"/>
            <w:vAlign w:val="center"/>
          </w:tcPr>
          <w:p>
            <w:pPr>
              <w:pStyle w:val="26"/>
            </w:pPr>
            <w:r>
              <w:t>得分</w:t>
            </w:r>
          </w:p>
        </w:tc>
        <w:tc>
          <w:tcPr>
            <w:tcW w:w="1984" w:type="dxa"/>
            <w:tcBorders>
              <w:bottom w:val="single" w:color="auto" w:sz="4" w:space="0"/>
            </w:tcBorders>
            <w:shd w:val="clear" w:color="auto" w:fill="auto"/>
            <w:vAlign w:val="center"/>
          </w:tcPr>
          <w:p>
            <w:pPr>
              <w:pStyle w:val="26"/>
            </w:pPr>
            <w:r>
              <w:t>指标得分率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578" w:type="dxa"/>
            <w:shd w:val="clear" w:color="auto" w:fill="auto"/>
            <w:vAlign w:val="center"/>
          </w:tcPr>
          <w:p>
            <w:pPr>
              <w:pStyle w:val="26"/>
            </w:pPr>
            <w:r>
              <w:rPr>
                <w:rFonts w:hint="eastAsia"/>
              </w:rPr>
              <w:t>项目</w:t>
            </w:r>
            <w:r>
              <w:t>决策</w:t>
            </w:r>
          </w:p>
        </w:tc>
        <w:tc>
          <w:tcPr>
            <w:tcW w:w="1983" w:type="dxa"/>
            <w:shd w:val="clear" w:color="auto" w:fill="auto"/>
            <w:vAlign w:val="center"/>
          </w:tcPr>
          <w:p>
            <w:pPr>
              <w:pStyle w:val="26"/>
              <w:rPr>
                <w:color w:val="auto"/>
              </w:rPr>
            </w:pPr>
            <w:r>
              <w:rPr>
                <w:rFonts w:hint="eastAsia"/>
                <w:color w:val="auto"/>
              </w:rPr>
              <w:t>15</w:t>
            </w:r>
          </w:p>
        </w:tc>
        <w:tc>
          <w:tcPr>
            <w:tcW w:w="1983" w:type="dxa"/>
            <w:tcBorders>
              <w:right w:val="single" w:color="auto" w:sz="4" w:space="0"/>
            </w:tcBorders>
            <w:shd w:val="clear" w:color="auto" w:fill="auto"/>
            <w:vAlign w:val="center"/>
          </w:tcPr>
          <w:p>
            <w:pPr>
              <w:pStyle w:val="26"/>
              <w:rPr>
                <w:rFonts w:hint="default" w:eastAsia="仿宋_GB2312"/>
                <w:color w:val="auto"/>
                <w:lang w:val="en-US" w:eastAsia="zh-CN"/>
              </w:rPr>
            </w:pPr>
            <w:r>
              <w:rPr>
                <w:rFonts w:hint="eastAsia"/>
                <w:color w:val="auto"/>
                <w:lang w:val="en-US" w:eastAsia="zh-CN"/>
              </w:rPr>
              <w:t>15</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pPr>
              <w:pStyle w:val="26"/>
              <w:rPr>
                <w:rFonts w:hint="default" w:eastAsia="仿宋_GB2312"/>
                <w:color w:val="auto"/>
                <w:lang w:val="en-US" w:eastAsia="zh-CN"/>
              </w:rPr>
            </w:pPr>
            <w:r>
              <w:rPr>
                <w:rFonts w:hint="eastAsia"/>
                <w:color w:val="auto"/>
                <w:lang w:val="en-US" w:eastAsia="zh-CN"/>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578" w:type="dxa"/>
            <w:shd w:val="clear" w:color="auto" w:fill="auto"/>
            <w:vAlign w:val="center"/>
          </w:tcPr>
          <w:p>
            <w:pPr>
              <w:pStyle w:val="26"/>
            </w:pPr>
            <w:r>
              <w:rPr>
                <w:rFonts w:hint="eastAsia"/>
              </w:rPr>
              <w:t>项目</w:t>
            </w:r>
            <w:r>
              <w:t>管理</w:t>
            </w:r>
          </w:p>
        </w:tc>
        <w:tc>
          <w:tcPr>
            <w:tcW w:w="1983" w:type="dxa"/>
            <w:shd w:val="clear" w:color="auto" w:fill="auto"/>
            <w:vAlign w:val="center"/>
          </w:tcPr>
          <w:p>
            <w:pPr>
              <w:pStyle w:val="26"/>
              <w:rPr>
                <w:color w:val="auto"/>
              </w:rPr>
            </w:pPr>
            <w:r>
              <w:rPr>
                <w:rFonts w:hint="eastAsia"/>
                <w:color w:val="auto"/>
              </w:rPr>
              <w:t>30</w:t>
            </w:r>
          </w:p>
        </w:tc>
        <w:tc>
          <w:tcPr>
            <w:tcW w:w="1983" w:type="dxa"/>
            <w:tcBorders>
              <w:right w:val="single" w:color="auto" w:sz="4" w:space="0"/>
            </w:tcBorders>
            <w:shd w:val="clear" w:color="auto" w:fill="auto"/>
            <w:vAlign w:val="center"/>
          </w:tcPr>
          <w:p>
            <w:pPr>
              <w:pStyle w:val="26"/>
              <w:rPr>
                <w:rFonts w:hint="default" w:eastAsia="仿宋_GB2312"/>
                <w:color w:val="auto"/>
                <w:lang w:val="en-US" w:eastAsia="zh-CN"/>
              </w:rPr>
            </w:pPr>
            <w:r>
              <w:rPr>
                <w:rFonts w:hint="eastAsia"/>
                <w:color w:val="auto"/>
                <w:lang w:val="en-US" w:eastAsia="zh-CN"/>
              </w:rPr>
              <w:t>30</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pPr>
              <w:pStyle w:val="26"/>
              <w:rPr>
                <w:rFonts w:hint="default" w:eastAsia="仿宋_GB2312"/>
                <w:color w:val="auto"/>
                <w:lang w:val="en-US" w:eastAsia="zh-CN"/>
              </w:rPr>
            </w:pPr>
            <w:r>
              <w:rPr>
                <w:rFonts w:hint="eastAsia"/>
                <w:color w:val="auto"/>
                <w:lang w:val="en-US" w:eastAsia="zh-CN"/>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578" w:type="dxa"/>
            <w:vAlign w:val="center"/>
          </w:tcPr>
          <w:p>
            <w:pPr>
              <w:pStyle w:val="26"/>
            </w:pPr>
            <w:r>
              <w:rPr>
                <w:rFonts w:hint="eastAsia"/>
              </w:rPr>
              <w:t>项目绩效</w:t>
            </w:r>
          </w:p>
        </w:tc>
        <w:tc>
          <w:tcPr>
            <w:tcW w:w="1983" w:type="dxa"/>
            <w:shd w:val="clear" w:color="auto" w:fill="auto"/>
            <w:vAlign w:val="center"/>
          </w:tcPr>
          <w:p>
            <w:pPr>
              <w:pStyle w:val="26"/>
              <w:rPr>
                <w:color w:val="auto"/>
              </w:rPr>
            </w:pPr>
            <w:r>
              <w:rPr>
                <w:rFonts w:hint="eastAsia"/>
                <w:color w:val="auto"/>
              </w:rPr>
              <w:t>55</w:t>
            </w:r>
          </w:p>
        </w:tc>
        <w:tc>
          <w:tcPr>
            <w:tcW w:w="1983" w:type="dxa"/>
            <w:tcBorders>
              <w:right w:val="single" w:color="auto" w:sz="4" w:space="0"/>
            </w:tcBorders>
            <w:shd w:val="clear" w:color="auto" w:fill="auto"/>
            <w:vAlign w:val="center"/>
          </w:tcPr>
          <w:p>
            <w:pPr>
              <w:pStyle w:val="26"/>
              <w:rPr>
                <w:rFonts w:hint="default" w:eastAsia="仿宋_GB2312"/>
                <w:color w:val="auto"/>
                <w:lang w:val="en-US" w:eastAsia="zh-CN"/>
              </w:rPr>
            </w:pPr>
            <w:r>
              <w:rPr>
                <w:rFonts w:hint="eastAsia"/>
                <w:color w:val="auto"/>
                <w:lang w:val="en-US" w:eastAsia="zh-CN"/>
              </w:rPr>
              <w:t>53</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pPr>
              <w:pStyle w:val="26"/>
              <w:rPr>
                <w:rFonts w:hint="default" w:eastAsia="仿宋_GB2312"/>
                <w:color w:val="auto"/>
                <w:lang w:val="en-US" w:eastAsia="zh-CN"/>
              </w:rPr>
            </w:pPr>
            <w:r>
              <w:rPr>
                <w:rFonts w:hint="eastAsia"/>
                <w:color w:val="auto"/>
                <w:lang w:val="en-US" w:eastAsia="zh-CN"/>
              </w:rPr>
              <w:t>96.36%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578" w:type="dxa"/>
            <w:vAlign w:val="center"/>
          </w:tcPr>
          <w:p>
            <w:pPr>
              <w:pStyle w:val="26"/>
            </w:pPr>
            <w:r>
              <w:t>合计</w:t>
            </w:r>
          </w:p>
        </w:tc>
        <w:tc>
          <w:tcPr>
            <w:tcW w:w="1983" w:type="dxa"/>
            <w:shd w:val="clear" w:color="auto" w:fill="auto"/>
            <w:vAlign w:val="center"/>
          </w:tcPr>
          <w:p>
            <w:pPr>
              <w:pStyle w:val="26"/>
              <w:rPr>
                <w:color w:val="auto"/>
              </w:rPr>
            </w:pPr>
            <w:r>
              <w:rPr>
                <w:color w:val="auto"/>
              </w:rPr>
              <w:t>100</w:t>
            </w:r>
          </w:p>
        </w:tc>
        <w:tc>
          <w:tcPr>
            <w:tcW w:w="1983" w:type="dxa"/>
            <w:shd w:val="clear" w:color="auto" w:fill="auto"/>
            <w:vAlign w:val="center"/>
          </w:tcPr>
          <w:p>
            <w:pPr>
              <w:pStyle w:val="26"/>
              <w:rPr>
                <w:rFonts w:hint="default" w:eastAsia="仿宋_GB2312"/>
                <w:color w:val="auto"/>
                <w:lang w:val="en-US" w:eastAsia="zh-CN"/>
              </w:rPr>
            </w:pPr>
            <w:r>
              <w:rPr>
                <w:rFonts w:hint="eastAsia"/>
                <w:color w:val="auto"/>
                <w:lang w:val="en-US" w:eastAsia="zh-CN"/>
              </w:rPr>
              <w:t>98</w:t>
            </w:r>
          </w:p>
        </w:tc>
        <w:tc>
          <w:tcPr>
            <w:tcW w:w="1984" w:type="dxa"/>
            <w:tcBorders>
              <w:top w:val="single" w:color="auto" w:sz="4" w:space="0"/>
            </w:tcBorders>
            <w:shd w:val="clear" w:color="auto" w:fill="auto"/>
            <w:vAlign w:val="center"/>
          </w:tcPr>
          <w:p>
            <w:pPr>
              <w:pStyle w:val="26"/>
              <w:rPr>
                <w:rFonts w:hint="default" w:eastAsia="仿宋_GB2312"/>
                <w:color w:val="auto"/>
                <w:lang w:val="en-US" w:eastAsia="zh-CN"/>
              </w:rPr>
            </w:pPr>
            <w:r>
              <w:rPr>
                <w:rFonts w:hint="eastAsia"/>
                <w:color w:val="auto"/>
                <w:lang w:val="en-US" w:eastAsia="zh-CN"/>
              </w:rPr>
              <w:t>98%</w:t>
            </w:r>
          </w:p>
        </w:tc>
      </w:tr>
    </w:tbl>
    <w:p>
      <w:pPr>
        <w:pStyle w:val="25"/>
        <w:outlineLvl w:val="1"/>
      </w:pPr>
      <w:bookmarkStart w:id="71" w:name="_Toc76132251"/>
      <w:bookmarkStart w:id="72" w:name="_Toc17903"/>
      <w:bookmarkStart w:id="73" w:name="_Toc76133037"/>
      <w:bookmarkStart w:id="74" w:name="_Toc77065995"/>
      <w:r>
        <w:t>非现场评价情况分析</w:t>
      </w:r>
      <w:bookmarkEnd w:id="71"/>
      <w:bookmarkEnd w:id="72"/>
      <w:bookmarkEnd w:id="73"/>
      <w:bookmarkEnd w:id="74"/>
    </w:p>
    <w:p>
      <w:pPr>
        <w:pStyle w:val="23"/>
        <w:rPr>
          <w:color w:val="auto"/>
        </w:rPr>
      </w:pPr>
      <w:r>
        <w:rPr>
          <w:rFonts w:hint="eastAsia"/>
        </w:rPr>
        <w:t>评价组</w:t>
      </w:r>
      <w:r>
        <w:rPr>
          <w:rFonts w:hint="eastAsia"/>
          <w:color w:val="auto"/>
        </w:rPr>
        <w:t>通过对</w:t>
      </w:r>
      <w:r>
        <w:rPr>
          <w:rFonts w:hint="eastAsia"/>
          <w:color w:val="auto"/>
          <w:lang w:val="en-US" w:eastAsia="zh-CN"/>
        </w:rPr>
        <w:t>甘肃省人民代表大会常务委员会办公厅</w:t>
      </w:r>
      <w:r>
        <w:rPr>
          <w:rFonts w:hint="eastAsia"/>
          <w:color w:val="auto"/>
        </w:rPr>
        <w:t>提供的资料进行分析评价，从提供资料中整理统计出</w:t>
      </w:r>
      <w:r>
        <w:rPr>
          <w:rFonts w:hint="eastAsia"/>
          <w:color w:val="auto"/>
          <w:lang w:val="en-US" w:eastAsia="zh-CN"/>
        </w:rPr>
        <w:t>业务费项目</w:t>
      </w:r>
      <w:r>
        <w:rPr>
          <w:rFonts w:hint="eastAsia"/>
          <w:color w:val="auto"/>
        </w:rPr>
        <w:t>执行方案，并对该专项资</w:t>
      </w:r>
      <w:r>
        <w:rPr>
          <w:rFonts w:hint="eastAsia"/>
        </w:rPr>
        <w:t>金的管理制度进行分析评价，其</w:t>
      </w:r>
      <w:r>
        <w:rPr>
          <w:rFonts w:hint="eastAsia"/>
          <w:color w:val="auto"/>
        </w:rPr>
        <w:t>中主要存在的问题如下：（1）</w:t>
      </w:r>
      <w:r>
        <w:rPr>
          <w:rFonts w:hint="eastAsia"/>
          <w:color w:val="auto"/>
          <w:lang w:val="en-US" w:eastAsia="zh-CN"/>
        </w:rPr>
        <w:t>绩效目标与指标设置不够细化、全面的问题，</w:t>
      </w:r>
      <w:r>
        <w:rPr>
          <w:rFonts w:hint="eastAsia" w:ascii="仿宋_GB2312" w:hAnsi="Times New Roman" w:eastAsia="仿宋_GB2312" w:cs="Times New Roman"/>
          <w:color w:val="auto"/>
          <w:kern w:val="2"/>
          <w:sz w:val="32"/>
          <w:szCs w:val="32"/>
          <w:u w:val="none"/>
          <w:shd w:val="clear"/>
          <w:lang w:val="en-US" w:eastAsia="zh-CN" w:bidi="ar-SA"/>
        </w:rPr>
        <w:t>主要表现在项目效果指标</w:t>
      </w:r>
      <w:r>
        <w:rPr>
          <w:rFonts w:hint="eastAsia" w:hAnsi="Times New Roman" w:cs="Times New Roman"/>
          <w:color w:val="auto"/>
          <w:kern w:val="2"/>
          <w:sz w:val="32"/>
          <w:szCs w:val="32"/>
          <w:u w:val="none"/>
          <w:shd w:val="clear"/>
          <w:lang w:val="en-US" w:eastAsia="zh-CN" w:bidi="ar-SA"/>
        </w:rPr>
        <w:t>不够完善，效果指标不够细化，</w:t>
      </w:r>
      <w:r>
        <w:rPr>
          <w:rFonts w:hint="eastAsia" w:ascii="仿宋_GB2312" w:hAnsi="Times New Roman" w:eastAsia="仿宋_GB2312" w:cs="Times New Roman"/>
          <w:color w:val="auto"/>
          <w:kern w:val="2"/>
          <w:sz w:val="32"/>
          <w:szCs w:val="32"/>
          <w:u w:val="none"/>
          <w:shd w:val="clear"/>
          <w:lang w:val="en-US" w:eastAsia="zh-CN" w:bidi="ar-SA"/>
        </w:rPr>
        <w:t>建议结合历年的上报数据，合理</w:t>
      </w:r>
      <w:r>
        <w:rPr>
          <w:rFonts w:hint="eastAsia" w:hAnsi="Times New Roman" w:cs="Times New Roman"/>
          <w:color w:val="auto"/>
          <w:kern w:val="2"/>
          <w:sz w:val="32"/>
          <w:szCs w:val="32"/>
          <w:u w:val="none"/>
          <w:shd w:val="clear"/>
          <w:lang w:val="en-US" w:eastAsia="zh-CN" w:bidi="ar-SA"/>
        </w:rPr>
        <w:t>梳理出相应的指标。</w:t>
      </w:r>
    </w:p>
    <w:p>
      <w:pPr>
        <w:pStyle w:val="25"/>
        <w:outlineLvl w:val="1"/>
      </w:pPr>
      <w:bookmarkStart w:id="75" w:name="_Toc76133038"/>
      <w:bookmarkStart w:id="76" w:name="_Toc77065996"/>
      <w:bookmarkStart w:id="77" w:name="_Toc28989"/>
      <w:bookmarkStart w:id="78" w:name="_Toc76132252"/>
      <w:r>
        <w:t>现场评价情况分析</w:t>
      </w:r>
      <w:bookmarkEnd w:id="75"/>
      <w:bookmarkEnd w:id="76"/>
      <w:bookmarkEnd w:id="77"/>
      <w:bookmarkEnd w:id="78"/>
    </w:p>
    <w:p>
      <w:pPr>
        <w:pStyle w:val="23"/>
        <w:rPr>
          <w:color w:val="auto"/>
        </w:rPr>
      </w:pPr>
      <w:r>
        <w:rPr>
          <w:rFonts w:hint="eastAsia"/>
          <w:color w:val="auto"/>
        </w:rPr>
        <w:t>现场测评中，评价组通过访谈，甘肃省人民代表大会常务委员会办公厅业务费进行了相关评价，评价组在通过与业务负责人的交流中，对项目有了更多的了解，对项目内容及审批程序有更深层面的认识，现场评价过程中，访谈环节顺利，未核查出相关问题。同时评价组人员对</w:t>
      </w:r>
      <w:r>
        <w:rPr>
          <w:rFonts w:hint="eastAsia"/>
          <w:color w:val="auto"/>
          <w:lang w:val="en-US" w:eastAsia="zh-CN"/>
        </w:rPr>
        <w:t>甘肃省人民代表大会常务委员会办公厅</w:t>
      </w:r>
      <w:r>
        <w:rPr>
          <w:rFonts w:hint="eastAsia"/>
          <w:color w:val="auto"/>
        </w:rPr>
        <w:t>的资金凭证进行了查询，未发现问题。</w:t>
      </w:r>
    </w:p>
    <w:p>
      <w:pPr>
        <w:pStyle w:val="24"/>
        <w:outlineLvl w:val="0"/>
      </w:pPr>
      <w:bookmarkStart w:id="79" w:name="_Toc76133039"/>
      <w:bookmarkStart w:id="80" w:name="_Toc77065997"/>
      <w:bookmarkStart w:id="81" w:name="_Toc10050"/>
      <w:bookmarkStart w:id="82" w:name="_Toc76132253"/>
      <w:r>
        <w:rPr>
          <w:rFonts w:hint="eastAsia"/>
        </w:rPr>
        <w:t>绩效评价指标分析</w:t>
      </w:r>
      <w:bookmarkEnd w:id="79"/>
      <w:bookmarkEnd w:id="80"/>
      <w:bookmarkEnd w:id="81"/>
      <w:bookmarkEnd w:id="82"/>
    </w:p>
    <w:p>
      <w:pPr>
        <w:pStyle w:val="25"/>
        <w:outlineLvl w:val="1"/>
      </w:pPr>
      <w:bookmarkStart w:id="83" w:name="_Toc77065998"/>
      <w:bookmarkStart w:id="84" w:name="_Toc76132254"/>
      <w:bookmarkStart w:id="85" w:name="_Toc76133040"/>
      <w:bookmarkStart w:id="86" w:name="_Toc29532"/>
      <w:r>
        <w:rPr>
          <w:rFonts w:hint="eastAsia"/>
        </w:rPr>
        <w:t>项目决策情况分析</w:t>
      </w:r>
      <w:bookmarkEnd w:id="83"/>
      <w:bookmarkEnd w:id="84"/>
      <w:bookmarkEnd w:id="85"/>
      <w:bookmarkEnd w:id="86"/>
    </w:p>
    <w:p>
      <w:pPr>
        <w:pStyle w:val="23"/>
        <w:ind w:firstLine="640"/>
        <w:rPr>
          <w:rFonts w:hint="default" w:eastAsia="仿宋_GB2312"/>
          <w:lang w:val="en-US" w:eastAsia="zh-CN"/>
        </w:rPr>
      </w:pPr>
      <w:r>
        <w:rPr>
          <w:rFonts w:hint="eastAsia"/>
        </w:rPr>
        <w:t>202</w:t>
      </w:r>
      <w:r>
        <w:rPr>
          <w:rFonts w:hint="eastAsia"/>
          <w:lang w:val="en-US" w:eastAsia="zh-CN"/>
        </w:rPr>
        <w:t>1</w:t>
      </w:r>
      <w:r>
        <w:rPr>
          <w:rFonts w:hint="eastAsia"/>
        </w:rPr>
        <w:t>年</w:t>
      </w:r>
      <w:r>
        <w:rPr>
          <w:rFonts w:hint="eastAsia"/>
          <w:lang w:val="en-US" w:eastAsia="zh-CN"/>
        </w:rPr>
        <w:t>业务费</w:t>
      </w:r>
      <w:r>
        <w:rPr>
          <w:rFonts w:hint="eastAsia"/>
        </w:rPr>
        <w:t>项目决策过程规范，根据甘肃省</w:t>
      </w:r>
      <w:r>
        <w:rPr>
          <w:rFonts w:hint="eastAsia"/>
          <w:lang w:val="en-US" w:eastAsia="zh-CN"/>
        </w:rPr>
        <w:t>人大常委会机关财务管理制度</w:t>
      </w:r>
      <w:r>
        <w:rPr>
          <w:rFonts w:hint="eastAsia"/>
        </w:rPr>
        <w:t>的规定，配合</w:t>
      </w:r>
      <w:r>
        <w:rPr>
          <w:rFonts w:hint="eastAsia"/>
          <w:lang w:val="en-US" w:eastAsia="zh-CN"/>
        </w:rPr>
        <w:t>机关相关</w:t>
      </w:r>
      <w:r>
        <w:rPr>
          <w:rFonts w:hint="eastAsia"/>
        </w:rPr>
        <w:t>工作需求，</w:t>
      </w:r>
      <w:r>
        <w:rPr>
          <w:rFonts w:hint="eastAsia"/>
          <w:lang w:val="en-US" w:eastAsia="zh-CN"/>
        </w:rPr>
        <w:t>办公费、日常经费、差旅费都有相关的规</w:t>
      </w:r>
      <w:r>
        <w:rPr>
          <w:rFonts w:hint="eastAsia"/>
        </w:rPr>
        <w:t>定和要求。甘肃省人民代表大会常务委员会办公厅根据</w:t>
      </w:r>
      <w:r>
        <w:rPr>
          <w:rFonts w:hint="eastAsia"/>
          <w:lang w:val="en-US" w:eastAsia="zh-CN"/>
        </w:rPr>
        <w:t>机关的财务管理制度文件</w:t>
      </w:r>
      <w:r>
        <w:rPr>
          <w:rFonts w:hint="eastAsia"/>
        </w:rPr>
        <w:t>要求，执行</w:t>
      </w:r>
      <w:r>
        <w:rPr>
          <w:rFonts w:hint="eastAsia"/>
          <w:lang w:val="en-US" w:eastAsia="zh-CN"/>
        </w:rPr>
        <w:t>业务费的</w:t>
      </w:r>
      <w:r>
        <w:rPr>
          <w:rFonts w:hint="eastAsia"/>
        </w:rPr>
        <w:t>预算、决算。</w:t>
      </w:r>
    </w:p>
    <w:p>
      <w:pPr>
        <w:pStyle w:val="25"/>
        <w:outlineLvl w:val="1"/>
      </w:pPr>
      <w:bookmarkStart w:id="87" w:name="_Toc76132255"/>
      <w:bookmarkStart w:id="88" w:name="_Toc76133041"/>
      <w:bookmarkStart w:id="89" w:name="_Toc17087"/>
      <w:bookmarkStart w:id="90" w:name="_Toc77065999"/>
      <w:r>
        <w:rPr>
          <w:rFonts w:hint="eastAsia"/>
        </w:rPr>
        <w:t>项目过程情况分析</w:t>
      </w:r>
      <w:bookmarkEnd w:id="87"/>
      <w:bookmarkEnd w:id="88"/>
      <w:bookmarkEnd w:id="89"/>
      <w:bookmarkEnd w:id="90"/>
    </w:p>
    <w:p>
      <w:pPr>
        <w:pStyle w:val="23"/>
        <w:rPr>
          <w:rFonts w:hint="default" w:hAnsi="Times New Roman" w:eastAsia="仿宋_GB2312" w:cs="Times New Roman"/>
          <w:color w:val="auto"/>
          <w:szCs w:val="32"/>
          <w:lang w:val="en-US" w:eastAsia="zh-CN"/>
        </w:rPr>
      </w:pPr>
      <w:r>
        <w:rPr>
          <w:rFonts w:hint="eastAsia" w:hAnsi="Times New Roman" w:cs="Times New Roman"/>
          <w:color w:val="auto"/>
          <w:szCs w:val="32"/>
          <w:lang w:eastAsia="zh-CN"/>
        </w:rPr>
        <w:t>2021</w:t>
      </w:r>
      <w:r>
        <w:rPr>
          <w:rFonts w:hAnsi="Times New Roman" w:cs="Times New Roman"/>
          <w:color w:val="auto"/>
          <w:szCs w:val="32"/>
        </w:rPr>
        <w:t>年度</w:t>
      </w:r>
      <w:r>
        <w:rPr>
          <w:rFonts w:hint="eastAsia" w:hAnsi="Times New Roman" w:cs="Times New Roman"/>
          <w:color w:val="auto"/>
          <w:szCs w:val="32"/>
          <w:lang w:val="en-US" w:eastAsia="zh-CN"/>
        </w:rPr>
        <w:t>业务费</w:t>
      </w:r>
      <w:r>
        <w:rPr>
          <w:rFonts w:hint="eastAsia" w:hAnsi="Times New Roman" w:cs="Times New Roman"/>
          <w:color w:val="auto"/>
          <w:szCs w:val="32"/>
        </w:rPr>
        <w:t>项目</w:t>
      </w:r>
      <w:r>
        <w:rPr>
          <w:rFonts w:hAnsi="Times New Roman" w:cs="Times New Roman"/>
          <w:color w:val="auto"/>
          <w:szCs w:val="32"/>
        </w:rPr>
        <w:t>管理制度健全</w:t>
      </w:r>
      <w:r>
        <w:rPr>
          <w:rFonts w:hint="eastAsia" w:hAnsi="Times New Roman" w:cs="Times New Roman"/>
          <w:color w:val="auto"/>
          <w:szCs w:val="32"/>
        </w:rPr>
        <w:t>，项目实施过程中</w:t>
      </w:r>
      <w:r>
        <w:rPr>
          <w:rFonts w:hint="eastAsia" w:hAnsi="Times New Roman" w:cs="Times New Roman"/>
          <w:color w:val="auto"/>
          <w:szCs w:val="32"/>
          <w:lang w:eastAsia="zh-CN"/>
        </w:rPr>
        <w:t>，</w:t>
      </w:r>
      <w:r>
        <w:rPr>
          <w:rFonts w:hint="eastAsia" w:hAnsi="Times New Roman" w:cs="Times New Roman"/>
          <w:color w:val="auto"/>
          <w:szCs w:val="32"/>
          <w:lang w:val="en-US" w:eastAsia="zh-CN"/>
        </w:rPr>
        <w:t>按照《</w:t>
      </w:r>
      <w:r>
        <w:rPr>
          <w:rFonts w:hint="eastAsia" w:ascii="Times New Roman" w:hAnsi="Times New Roman"/>
          <w:color w:val="auto"/>
        </w:rPr>
        <w:t>甘肃省人大常委会机关财务管理办法</w:t>
      </w:r>
      <w:r>
        <w:rPr>
          <w:rFonts w:hint="eastAsia" w:hAnsi="Times New Roman" w:cs="Times New Roman"/>
          <w:color w:val="auto"/>
          <w:szCs w:val="32"/>
          <w:lang w:val="en-US" w:eastAsia="zh-CN"/>
        </w:rPr>
        <w:t>》中的项目管理制度。</w:t>
      </w:r>
    </w:p>
    <w:p>
      <w:pPr>
        <w:pStyle w:val="23"/>
        <w:numPr>
          <w:ilvl w:val="0"/>
          <w:numId w:val="2"/>
        </w:numPr>
        <w:rPr>
          <w:rFonts w:hAnsi="Times New Roman" w:cs="Times New Roman"/>
          <w:color w:val="auto"/>
          <w:szCs w:val="32"/>
        </w:rPr>
      </w:pPr>
      <w:r>
        <w:rPr>
          <w:rFonts w:hint="eastAsia" w:hAnsi="Times New Roman" w:cs="Times New Roman"/>
          <w:color w:val="auto"/>
          <w:szCs w:val="32"/>
        </w:rPr>
        <w:t>健全组织机构，分工明确，责任到人，提高了办事效率，确保了项目质量。</w:t>
      </w:r>
    </w:p>
    <w:p>
      <w:pPr>
        <w:pStyle w:val="23"/>
        <w:numPr>
          <w:ilvl w:val="0"/>
          <w:numId w:val="2"/>
        </w:numPr>
        <w:rPr>
          <w:rFonts w:hAnsi="Times New Roman" w:cs="Times New Roman"/>
          <w:color w:val="auto"/>
          <w:szCs w:val="32"/>
        </w:rPr>
      </w:pPr>
      <w:r>
        <w:rPr>
          <w:rFonts w:hint="eastAsia" w:hAnsi="Times New Roman" w:cs="Times New Roman"/>
          <w:color w:val="auto"/>
          <w:szCs w:val="32"/>
        </w:rPr>
        <w:t>制定了项目实施方案，确保工作按流程进行，做到了有条不紊。</w:t>
      </w:r>
    </w:p>
    <w:p>
      <w:pPr>
        <w:pStyle w:val="23"/>
        <w:numPr>
          <w:ilvl w:val="0"/>
          <w:numId w:val="2"/>
        </w:numPr>
        <w:rPr>
          <w:color w:val="auto"/>
        </w:rPr>
      </w:pPr>
      <w:r>
        <w:rPr>
          <w:rFonts w:hint="eastAsia" w:hAnsi="Times New Roman" w:cs="Times New Roman"/>
          <w:color w:val="auto"/>
          <w:szCs w:val="32"/>
        </w:rPr>
        <w:t>项目资金审核符合流程，会计核算规范，严格按照专项资金管理办法进行财务处理，确保资金使用率。</w:t>
      </w:r>
    </w:p>
    <w:p>
      <w:pPr>
        <w:pStyle w:val="25"/>
        <w:outlineLvl w:val="1"/>
        <w:rPr>
          <w:rFonts w:hint="eastAsia" w:eastAsia="仿宋_GB2312"/>
          <w:lang w:eastAsia="zh-CN"/>
        </w:rPr>
      </w:pPr>
      <w:bookmarkStart w:id="91" w:name="_Toc76133042"/>
      <w:bookmarkStart w:id="92" w:name="_Toc76132256"/>
      <w:bookmarkStart w:id="93" w:name="_Toc77066000"/>
      <w:bookmarkStart w:id="94" w:name="_Toc32495"/>
      <w:r>
        <w:rPr>
          <w:rFonts w:hint="eastAsia"/>
        </w:rPr>
        <w:t>项目产出情况分析</w:t>
      </w:r>
      <w:bookmarkEnd w:id="91"/>
      <w:bookmarkEnd w:id="92"/>
      <w:bookmarkEnd w:id="93"/>
      <w:bookmarkEnd w:id="94"/>
    </w:p>
    <w:p>
      <w:pPr>
        <w:pStyle w:val="23"/>
        <w:numPr>
          <w:ilvl w:val="0"/>
          <w:numId w:val="3"/>
        </w:numPr>
        <w:tabs>
          <w:tab w:val="left" w:pos="312"/>
        </w:tabs>
        <w:ind w:firstLine="643" w:firstLineChars="200"/>
        <w:rPr>
          <w:rFonts w:hint="eastAsia"/>
          <w:b/>
          <w:bCs/>
        </w:rPr>
      </w:pPr>
      <w:r>
        <w:rPr>
          <w:rFonts w:hint="eastAsia"/>
          <w:b/>
          <w:bCs/>
        </w:rPr>
        <w:t>计划完成率分析</w:t>
      </w:r>
    </w:p>
    <w:p>
      <w:pPr>
        <w:pStyle w:val="23"/>
        <w:numPr>
          <w:ilvl w:val="0"/>
          <w:numId w:val="0"/>
        </w:numPr>
        <w:tabs>
          <w:tab w:val="clear" w:pos="312"/>
        </w:tabs>
        <w:rPr>
          <w:rFonts w:hint="eastAsia" w:eastAsia="仿宋_GB2312"/>
          <w:b w:val="0"/>
          <w:bCs w:val="0"/>
          <w:color w:val="auto"/>
          <w:lang w:val="en-US" w:eastAsia="zh-CN"/>
        </w:rPr>
      </w:pPr>
      <w:r>
        <w:rPr>
          <w:rFonts w:hint="eastAsia"/>
          <w:b/>
          <w:bCs/>
          <w:color w:val="auto"/>
          <w:lang w:val="en-US" w:eastAsia="zh-CN"/>
        </w:rPr>
        <w:t xml:space="preserve"> </w:t>
      </w:r>
      <w:r>
        <w:rPr>
          <w:rFonts w:hint="eastAsia"/>
          <w:b w:val="0"/>
          <w:bCs w:val="0"/>
          <w:color w:val="auto"/>
          <w:lang w:val="en-US" w:eastAsia="zh-CN"/>
        </w:rPr>
        <w:t xml:space="preserve">   2021年度，业务费项目实施过程中，办公场所供暖面积达到23056平方米，公务用车数量34辆，全年水电费缴纳12次，维护单位各类系统4套，支付邮电费用12次。</w:t>
      </w:r>
    </w:p>
    <w:p>
      <w:pPr>
        <w:pStyle w:val="23"/>
        <w:numPr>
          <w:ilvl w:val="0"/>
          <w:numId w:val="3"/>
        </w:numPr>
        <w:tabs>
          <w:tab w:val="left" w:pos="312"/>
        </w:tabs>
        <w:ind w:left="0" w:leftChars="0" w:firstLine="643" w:firstLineChars="200"/>
        <w:rPr>
          <w:rFonts w:hint="eastAsia"/>
          <w:b/>
          <w:bCs/>
          <w:color w:val="auto"/>
          <w:lang w:val="en-US" w:eastAsia="zh-CN"/>
        </w:rPr>
      </w:pPr>
      <w:r>
        <w:rPr>
          <w:rFonts w:hint="eastAsia"/>
          <w:b/>
          <w:bCs/>
          <w:color w:val="auto"/>
        </w:rPr>
        <w:t>完成质量分析</w:t>
      </w:r>
    </w:p>
    <w:p>
      <w:pPr>
        <w:pStyle w:val="23"/>
        <w:numPr>
          <w:ilvl w:val="0"/>
          <w:numId w:val="0"/>
        </w:numPr>
        <w:tabs>
          <w:tab w:val="clear" w:pos="312"/>
        </w:tabs>
        <w:ind w:firstLine="640" w:firstLineChars="200"/>
        <w:rPr>
          <w:rFonts w:hint="eastAsia"/>
          <w:b/>
          <w:bCs/>
          <w:color w:val="auto"/>
          <w:lang w:val="en-US" w:eastAsia="zh-CN"/>
        </w:rPr>
      </w:pPr>
      <w:r>
        <w:rPr>
          <w:rFonts w:hint="eastAsia"/>
          <w:b w:val="0"/>
          <w:bCs w:val="0"/>
          <w:color w:val="auto"/>
          <w:lang w:val="en-US" w:eastAsia="zh-CN"/>
        </w:rPr>
        <w:t>2021年度，业务费项目的实施，办公场所供暖覆盖率达到了100%；公务车辆保养率达到了100%；立法调研成果形成率达到了80%；系统运行稳定性达到了100%。</w:t>
      </w:r>
    </w:p>
    <w:p>
      <w:pPr>
        <w:pStyle w:val="23"/>
        <w:numPr>
          <w:ilvl w:val="0"/>
          <w:numId w:val="3"/>
        </w:numPr>
        <w:tabs>
          <w:tab w:val="left" w:pos="312"/>
        </w:tabs>
        <w:ind w:left="0" w:leftChars="0" w:firstLine="643" w:firstLineChars="200"/>
        <w:rPr>
          <w:rFonts w:hint="eastAsia"/>
          <w:b/>
          <w:bCs/>
          <w:color w:val="auto"/>
        </w:rPr>
      </w:pPr>
      <w:r>
        <w:rPr>
          <w:rFonts w:hint="eastAsia"/>
          <w:b/>
          <w:bCs/>
          <w:color w:val="auto"/>
        </w:rPr>
        <w:t>时效性分析</w:t>
      </w:r>
    </w:p>
    <w:p>
      <w:pPr>
        <w:pStyle w:val="23"/>
        <w:numPr>
          <w:ilvl w:val="0"/>
          <w:numId w:val="0"/>
        </w:numPr>
        <w:tabs>
          <w:tab w:val="clear" w:pos="312"/>
        </w:tabs>
        <w:ind w:firstLine="640" w:firstLineChars="200"/>
        <w:rPr>
          <w:rFonts w:hint="eastAsia"/>
          <w:b w:val="0"/>
          <w:bCs w:val="0"/>
          <w:color w:val="auto"/>
          <w:u w:val="none"/>
          <w:lang w:val="en-US" w:eastAsia="zh-CN"/>
        </w:rPr>
      </w:pPr>
      <w:r>
        <w:rPr>
          <w:rFonts w:hint="eastAsia"/>
          <w:b w:val="0"/>
          <w:bCs w:val="0"/>
          <w:color w:val="auto"/>
          <w:u w:val="none"/>
          <w:lang w:val="en-US" w:eastAsia="zh-CN"/>
        </w:rPr>
        <w:t>2021年度，业务费项目各项工作开展及时，立法调研、系统修护与邮费支付等工作均按计划完成。</w:t>
      </w:r>
    </w:p>
    <w:p>
      <w:pPr>
        <w:pStyle w:val="23"/>
        <w:numPr>
          <w:ilvl w:val="0"/>
          <w:numId w:val="3"/>
        </w:numPr>
        <w:tabs>
          <w:tab w:val="left" w:pos="312"/>
        </w:tabs>
        <w:ind w:left="0" w:leftChars="0" w:firstLine="643" w:firstLineChars="200"/>
        <w:rPr>
          <w:b/>
          <w:bCs/>
          <w:color w:val="auto"/>
        </w:rPr>
      </w:pPr>
      <w:r>
        <w:rPr>
          <w:rFonts w:hint="eastAsia"/>
          <w:b/>
          <w:bCs/>
          <w:color w:val="auto"/>
        </w:rPr>
        <w:t>成本控制率分析</w:t>
      </w:r>
    </w:p>
    <w:p>
      <w:pPr>
        <w:pStyle w:val="23"/>
        <w:ind w:firstLine="640"/>
        <w:rPr>
          <w:color w:val="auto"/>
        </w:rPr>
      </w:pPr>
      <w:bookmarkStart w:id="95" w:name="_Toc76132257"/>
      <w:bookmarkStart w:id="96" w:name="_Toc76133043"/>
      <w:bookmarkStart w:id="97" w:name="_Toc77066001"/>
      <w:r>
        <w:rPr>
          <w:color w:val="auto"/>
        </w:rPr>
        <w:t>202</w:t>
      </w:r>
      <w:r>
        <w:rPr>
          <w:rFonts w:hint="eastAsia"/>
          <w:color w:val="auto"/>
          <w:lang w:val="en-US" w:eastAsia="zh-CN"/>
        </w:rPr>
        <w:t>1</w:t>
      </w:r>
      <w:r>
        <w:rPr>
          <w:color w:val="auto"/>
        </w:rPr>
        <w:t>年度</w:t>
      </w:r>
      <w:r>
        <w:rPr>
          <w:rFonts w:hint="eastAsia"/>
          <w:color w:val="auto"/>
          <w:lang w:val="en-US" w:eastAsia="zh-CN"/>
        </w:rPr>
        <w:t>业务费</w:t>
      </w:r>
      <w:r>
        <w:rPr>
          <w:color w:val="auto"/>
        </w:rPr>
        <w:t>项目年初预算资金</w:t>
      </w:r>
      <w:r>
        <w:rPr>
          <w:rFonts w:hint="eastAsia"/>
          <w:color w:val="auto"/>
          <w:lang w:val="en-US" w:eastAsia="zh-CN"/>
        </w:rPr>
        <w:t>680</w:t>
      </w:r>
      <w:r>
        <w:rPr>
          <w:color w:val="auto"/>
        </w:rPr>
        <w:t>万元，</w:t>
      </w:r>
      <w:r>
        <w:rPr>
          <w:rFonts w:hint="eastAsia"/>
          <w:color w:val="auto"/>
          <w:lang w:val="en-US" w:eastAsia="zh-CN"/>
        </w:rPr>
        <w:t>上年结转80万元，</w:t>
      </w:r>
      <w:r>
        <w:rPr>
          <w:color w:val="auto"/>
        </w:rPr>
        <w:t>截止202</w:t>
      </w:r>
      <w:r>
        <w:rPr>
          <w:rFonts w:hint="eastAsia"/>
          <w:color w:val="auto"/>
          <w:lang w:val="en-US" w:eastAsia="zh-CN"/>
        </w:rPr>
        <w:t>1</w:t>
      </w:r>
      <w:r>
        <w:rPr>
          <w:color w:val="auto"/>
        </w:rPr>
        <w:t>年12月31日，该项目实际支出资金</w:t>
      </w:r>
      <w:r>
        <w:rPr>
          <w:rFonts w:hint="eastAsia"/>
          <w:color w:val="auto"/>
          <w:lang w:val="en-US" w:eastAsia="zh-CN"/>
        </w:rPr>
        <w:t>760</w:t>
      </w:r>
      <w:r>
        <w:rPr>
          <w:color w:val="auto"/>
        </w:rPr>
        <w:t>万元，预算执行率为100%，该项目成本控制率为100%，项目控制较好。</w:t>
      </w:r>
    </w:p>
    <w:p>
      <w:pPr>
        <w:pStyle w:val="25"/>
        <w:outlineLvl w:val="1"/>
        <w:rPr>
          <w:color w:val="auto"/>
        </w:rPr>
      </w:pPr>
      <w:bookmarkStart w:id="98" w:name="_Toc15109"/>
      <w:r>
        <w:rPr>
          <w:rFonts w:hint="eastAsia"/>
          <w:color w:val="auto"/>
        </w:rPr>
        <w:t>项目效益情况分析</w:t>
      </w:r>
      <w:bookmarkEnd w:id="95"/>
      <w:bookmarkEnd w:id="96"/>
      <w:bookmarkEnd w:id="97"/>
      <w:bookmarkEnd w:id="98"/>
    </w:p>
    <w:p>
      <w:pPr>
        <w:pStyle w:val="23"/>
        <w:numPr>
          <w:ilvl w:val="0"/>
          <w:numId w:val="4"/>
        </w:numPr>
        <w:ind w:firstLine="643"/>
        <w:rPr>
          <w:b/>
          <w:bCs/>
          <w:color w:val="auto"/>
        </w:rPr>
      </w:pPr>
      <w:r>
        <w:rPr>
          <w:rFonts w:hint="eastAsia"/>
          <w:b/>
          <w:bCs/>
          <w:color w:val="auto"/>
        </w:rPr>
        <w:t>项目预期完成程度</w:t>
      </w:r>
    </w:p>
    <w:p>
      <w:pPr>
        <w:pStyle w:val="23"/>
        <w:numPr>
          <w:ilvl w:val="0"/>
          <w:numId w:val="0"/>
        </w:numPr>
        <w:tabs>
          <w:tab w:val="clear" w:pos="312"/>
        </w:tabs>
        <w:ind w:firstLine="640" w:firstLineChars="200"/>
        <w:rPr>
          <w:b w:val="0"/>
          <w:bCs w:val="0"/>
        </w:rPr>
      </w:pPr>
      <w:r>
        <w:rPr>
          <w:rFonts w:hint="eastAsia"/>
          <w:b w:val="0"/>
          <w:bCs w:val="0"/>
          <w:color w:val="auto"/>
        </w:rPr>
        <w:t>2021年省人大常委会机关按计划开展立法调研20次，维护养护机关公务用车，对机关院内车场车位、交通标志牌、网格及边线进行了刷新，对路灯标志、监控立柱及路面交通设施进行了更新修复，为常委会机关日常工作的开展提供了</w:t>
      </w:r>
      <w:r>
        <w:rPr>
          <w:rFonts w:hint="eastAsia"/>
          <w:b w:val="0"/>
          <w:bCs w:val="0"/>
        </w:rPr>
        <w:t>有效保障。</w:t>
      </w:r>
    </w:p>
    <w:p>
      <w:pPr>
        <w:pStyle w:val="23"/>
        <w:numPr>
          <w:ilvl w:val="0"/>
          <w:numId w:val="4"/>
        </w:numPr>
        <w:ind w:firstLine="643"/>
        <w:rPr>
          <w:b/>
          <w:bCs/>
        </w:rPr>
      </w:pPr>
      <w:r>
        <w:rPr>
          <w:rFonts w:hint="eastAsia"/>
          <w:b/>
          <w:bCs/>
        </w:rPr>
        <w:t>项目实施对社会的影响</w:t>
      </w:r>
    </w:p>
    <w:p>
      <w:pPr>
        <w:pStyle w:val="23"/>
        <w:numPr>
          <w:ilvl w:val="0"/>
          <w:numId w:val="0"/>
        </w:numPr>
        <w:tabs>
          <w:tab w:val="clear" w:pos="312"/>
        </w:tabs>
        <w:rPr>
          <w:rFonts w:hint="default" w:eastAsia="仿宋_GB2312"/>
          <w:b w:val="0"/>
          <w:bCs w:val="0"/>
          <w:lang w:val="en-US" w:eastAsia="zh-CN"/>
        </w:rPr>
      </w:pPr>
      <w:r>
        <w:rPr>
          <w:rFonts w:hint="eastAsia"/>
          <w:b/>
          <w:bCs/>
          <w:lang w:val="en-US" w:eastAsia="zh-CN"/>
        </w:rPr>
        <w:t xml:space="preserve">    </w:t>
      </w:r>
      <w:r>
        <w:rPr>
          <w:rFonts w:hint="eastAsia"/>
          <w:b w:val="0"/>
          <w:bCs w:val="0"/>
          <w:lang w:val="en-US" w:eastAsia="zh-CN"/>
        </w:rPr>
        <w:t>业务费的开展，加强了与市县人大的联系指导，通过会议轮训、履职培训、工作联动、日常指导等方式，构建全省人大地方立法、监督调研、代表履职的上下协同机制，推动同频共振，增强整体实效。</w:t>
      </w:r>
    </w:p>
    <w:p>
      <w:pPr>
        <w:pStyle w:val="24"/>
        <w:outlineLvl w:val="0"/>
      </w:pPr>
      <w:bookmarkStart w:id="99" w:name="_Toc76133044"/>
      <w:bookmarkStart w:id="100" w:name="_Toc76132258"/>
      <w:bookmarkStart w:id="101" w:name="_Toc77066002"/>
      <w:bookmarkStart w:id="102" w:name="_Toc9662"/>
      <w:r>
        <w:rPr>
          <w:rFonts w:hint="eastAsia"/>
        </w:rPr>
        <w:t>主要经验及做法</w:t>
      </w:r>
      <w:bookmarkEnd w:id="99"/>
      <w:bookmarkEnd w:id="100"/>
      <w:bookmarkEnd w:id="101"/>
      <w:bookmarkEnd w:id="102"/>
    </w:p>
    <w:p>
      <w:pPr>
        <w:pStyle w:val="23"/>
        <w:numPr>
          <w:ilvl w:val="0"/>
          <w:numId w:val="5"/>
        </w:numPr>
        <w:ind w:left="-13" w:leftChars="0" w:firstLine="643" w:firstLineChars="0"/>
        <w:outlineLvl w:val="1"/>
        <w:rPr>
          <w:rFonts w:hint="eastAsia" w:ascii="楷体" w:hAnsi="楷体" w:eastAsia="楷体" w:cs="楷体"/>
          <w:b/>
          <w:bCs/>
          <w:lang w:val="en-US" w:eastAsia="zh-CN"/>
        </w:rPr>
      </w:pPr>
      <w:bookmarkStart w:id="103" w:name="_Toc30166"/>
      <w:r>
        <w:rPr>
          <w:rFonts w:hint="eastAsia" w:ascii="楷体" w:hAnsi="楷体" w:eastAsia="楷体" w:cs="楷体"/>
          <w:b/>
          <w:bCs/>
          <w:lang w:val="en-US" w:eastAsia="zh-CN"/>
        </w:rPr>
        <w:t>预算执行率及任务目标实现度高</w:t>
      </w:r>
      <w:bookmarkEnd w:id="103"/>
    </w:p>
    <w:p>
      <w:pPr>
        <w:pStyle w:val="23"/>
        <w:numPr>
          <w:ilvl w:val="0"/>
          <w:numId w:val="0"/>
        </w:numPr>
        <w:tabs>
          <w:tab w:val="clear" w:pos="312"/>
        </w:tabs>
        <w:ind w:firstLine="640" w:firstLineChars="200"/>
        <w:rPr>
          <w:rFonts w:hint="eastAsia" w:ascii="楷体" w:hAnsi="楷体" w:eastAsia="楷体" w:cs="楷体"/>
          <w:b/>
          <w:bCs/>
          <w:color w:val="auto"/>
          <w:lang w:val="en-US" w:eastAsia="zh-CN"/>
        </w:rPr>
      </w:pPr>
      <w:r>
        <w:rPr>
          <w:rFonts w:hint="eastAsia"/>
          <w:color w:val="auto"/>
          <w:lang w:val="en-US" w:eastAsia="zh-CN"/>
        </w:rPr>
        <w:t>2021年甘肃省人民代表大会常务委员会办公厅因为业务费项目资金预算总额为760万元，根据项目评价组现场核实及单位资金使用数据统计，单位实际支出760万元，资金执行率为100%。同时，根据项目实施情况统计，各项目已按照预期计划，完成了各项任务及指标，</w:t>
      </w:r>
      <w:r>
        <w:rPr>
          <w:rFonts w:hint="eastAsia"/>
          <w:color w:val="auto"/>
          <w:lang w:eastAsia="zh-CN"/>
        </w:rPr>
        <w:t>维护单位各类系统数量</w:t>
      </w:r>
      <w:r>
        <w:rPr>
          <w:rFonts w:hint="eastAsia"/>
          <w:color w:val="auto"/>
          <w:lang w:val="en-US" w:eastAsia="zh-CN"/>
        </w:rPr>
        <w:t>4套，公务用车20辆，支付邮电费用次数12次。按照任务要求完成了各项任务，并及时验收通过。</w:t>
      </w:r>
    </w:p>
    <w:p>
      <w:pPr>
        <w:pStyle w:val="25"/>
        <w:numPr>
          <w:ilvl w:val="1"/>
          <w:numId w:val="0"/>
        </w:numPr>
        <w:ind w:left="709" w:leftChars="0"/>
        <w:outlineLvl w:val="1"/>
        <w:rPr>
          <w:rFonts w:hint="eastAsia" w:ascii="楷体" w:hAnsi="楷体" w:eastAsia="楷体" w:cs="楷体"/>
          <w:b/>
          <w:bCs/>
          <w:color w:val="auto"/>
          <w:lang w:val="en-US" w:eastAsia="zh-CN"/>
        </w:rPr>
      </w:pPr>
      <w:bookmarkStart w:id="104" w:name="_Toc76477638"/>
      <w:bookmarkStart w:id="105" w:name="_Toc76456395"/>
      <w:bookmarkStart w:id="106" w:name="_Toc19764"/>
      <w:r>
        <w:rPr>
          <w:rFonts w:hint="eastAsia"/>
          <w:color w:val="auto"/>
          <w:lang w:eastAsia="zh-CN"/>
        </w:rPr>
        <w:t>（</w:t>
      </w:r>
      <w:r>
        <w:rPr>
          <w:rFonts w:hint="eastAsia"/>
          <w:color w:val="auto"/>
          <w:lang w:val="en-US" w:eastAsia="zh-CN"/>
        </w:rPr>
        <w:t>二）</w:t>
      </w:r>
      <w:r>
        <w:rPr>
          <w:rFonts w:hint="eastAsia"/>
          <w:color w:val="auto"/>
        </w:rPr>
        <w:t>资金管理程序规范，资金到位及时。</w:t>
      </w:r>
      <w:bookmarkEnd w:id="104"/>
      <w:bookmarkEnd w:id="105"/>
      <w:bookmarkEnd w:id="106"/>
    </w:p>
    <w:p>
      <w:pPr>
        <w:pStyle w:val="23"/>
        <w:ind w:left="0" w:leftChars="0" w:firstLine="0" w:firstLineChars="0"/>
        <w:rPr>
          <w:rFonts w:hint="default" w:eastAsia="仿宋_GB2312"/>
          <w:color w:val="auto"/>
          <w:lang w:val="en-US" w:eastAsia="zh-CN"/>
        </w:rPr>
      </w:pPr>
      <w:r>
        <w:rPr>
          <w:rFonts w:hint="eastAsia"/>
          <w:color w:val="auto"/>
          <w:lang w:val="en-US" w:eastAsia="zh-CN"/>
        </w:rPr>
        <w:t xml:space="preserve">     </w:t>
      </w:r>
      <w:r>
        <w:rPr>
          <w:rFonts w:hint="eastAsia"/>
          <w:color w:val="auto"/>
        </w:rPr>
        <w:t>根据《</w:t>
      </w:r>
      <w:r>
        <w:rPr>
          <w:rFonts w:hint="eastAsia"/>
          <w:color w:val="auto"/>
          <w:lang w:val="en-US" w:eastAsia="zh-CN"/>
        </w:rPr>
        <w:t>甘肃省人民代表大会常务委员会办公厅</w:t>
      </w:r>
      <w:r>
        <w:rPr>
          <w:rFonts w:hint="eastAsia"/>
          <w:color w:val="auto"/>
        </w:rPr>
        <w:t>财务管理办法》</w:t>
      </w:r>
      <w:r>
        <w:rPr>
          <w:color w:val="auto"/>
        </w:rPr>
        <w:t>要求进行项目资金管理，资金的申请、审核</w:t>
      </w:r>
      <w:r>
        <w:rPr>
          <w:rFonts w:hint="eastAsia"/>
          <w:color w:val="auto"/>
        </w:rPr>
        <w:t>有完整的审批程序和手续；评价组核查相关资金材料，以及对单位进行访谈了解，财政厅实际下达资金</w:t>
      </w:r>
      <w:r>
        <w:rPr>
          <w:rFonts w:hint="eastAsia"/>
          <w:color w:val="auto"/>
          <w:lang w:val="en-US" w:eastAsia="zh-CN"/>
        </w:rPr>
        <w:t>680</w:t>
      </w:r>
      <w:r>
        <w:rPr>
          <w:color w:val="auto"/>
        </w:rPr>
        <w:t>万</w:t>
      </w:r>
      <w:r>
        <w:rPr>
          <w:rFonts w:hint="eastAsia"/>
          <w:color w:val="auto"/>
        </w:rPr>
        <w:t>元，资金分配合理，到位及时。</w:t>
      </w:r>
    </w:p>
    <w:p>
      <w:pPr>
        <w:pStyle w:val="24"/>
        <w:outlineLvl w:val="0"/>
      </w:pPr>
      <w:bookmarkStart w:id="107" w:name="_Toc77066003"/>
      <w:bookmarkStart w:id="108" w:name="_Toc76133045"/>
      <w:bookmarkStart w:id="109" w:name="_Toc76132259"/>
      <w:bookmarkStart w:id="110" w:name="_Toc18136"/>
      <w:r>
        <w:rPr>
          <w:rFonts w:hint="eastAsia"/>
        </w:rPr>
        <w:t>存在的问题及原因分析</w:t>
      </w:r>
      <w:bookmarkEnd w:id="107"/>
      <w:bookmarkEnd w:id="108"/>
      <w:bookmarkEnd w:id="109"/>
      <w:bookmarkEnd w:id="110"/>
    </w:p>
    <w:p>
      <w:pPr>
        <w:pStyle w:val="23"/>
        <w:numPr>
          <w:ilvl w:val="0"/>
          <w:numId w:val="6"/>
        </w:numPr>
        <w:ind w:firstLine="643"/>
        <w:outlineLvl w:val="1"/>
        <w:rPr>
          <w:rFonts w:hint="eastAsia" w:ascii="楷体" w:hAnsi="楷体" w:eastAsia="楷体" w:cs="楷体"/>
          <w:b/>
          <w:bCs/>
          <w:color w:val="auto"/>
          <w:lang w:val="en-US" w:eastAsia="zh-CN"/>
        </w:rPr>
      </w:pPr>
      <w:bookmarkStart w:id="111" w:name="_Toc5793"/>
      <w:r>
        <w:rPr>
          <w:rFonts w:hint="eastAsia" w:ascii="楷体" w:hAnsi="楷体" w:eastAsia="楷体" w:cs="楷体"/>
          <w:b/>
          <w:bCs/>
          <w:color w:val="auto"/>
          <w:lang w:val="en-US" w:eastAsia="zh-CN"/>
        </w:rPr>
        <w:t>绩效目标与指标设置不够量化细化</w:t>
      </w:r>
      <w:bookmarkEnd w:id="111"/>
    </w:p>
    <w:p>
      <w:pPr>
        <w:pStyle w:val="23"/>
        <w:numPr>
          <w:ilvl w:val="0"/>
          <w:numId w:val="0"/>
        </w:numPr>
        <w:tabs>
          <w:tab w:val="clear" w:pos="312"/>
        </w:tabs>
        <w:ind w:firstLine="640" w:firstLineChars="200"/>
        <w:rPr>
          <w:color w:val="auto"/>
        </w:rPr>
      </w:pPr>
      <w:bookmarkStart w:id="112" w:name="_Toc76132260"/>
      <w:bookmarkStart w:id="113" w:name="_Toc76133046"/>
      <w:bookmarkStart w:id="114" w:name="_Toc77066004"/>
      <w:bookmarkStart w:id="115" w:name="_Toc32087"/>
      <w:r>
        <w:rPr>
          <w:rFonts w:hint="eastAsia" w:ascii="仿宋_GB2312" w:hAnsi="Times New Roman" w:eastAsia="仿宋_GB2312" w:cs="Times New Roman"/>
          <w:color w:val="auto"/>
          <w:sz w:val="32"/>
          <w:szCs w:val="32"/>
          <w:lang w:val="en-US" w:eastAsia="zh-CN"/>
        </w:rPr>
        <w:t>评价组对照项目绩效目标申报表与项目实施的实际情况，发现本项目存在产出指标</w:t>
      </w:r>
      <w:r>
        <w:rPr>
          <w:rFonts w:hint="eastAsia" w:hAnsi="Times New Roman" w:cs="Times New Roman"/>
          <w:color w:val="auto"/>
          <w:sz w:val="32"/>
          <w:szCs w:val="32"/>
          <w:lang w:val="en-US" w:eastAsia="zh-CN"/>
        </w:rPr>
        <w:t>设置不够完善</w:t>
      </w:r>
      <w:r>
        <w:rPr>
          <w:rFonts w:hint="eastAsia" w:ascii="仿宋_GB2312" w:hAnsi="Times New Roman" w:eastAsia="仿宋_GB2312" w:cs="Times New Roman"/>
          <w:color w:val="auto"/>
          <w:sz w:val="32"/>
          <w:szCs w:val="32"/>
          <w:lang w:val="en-US" w:eastAsia="zh-CN"/>
        </w:rPr>
        <w:t>问题</w:t>
      </w:r>
      <w:r>
        <w:rPr>
          <w:rFonts w:hint="eastAsia" w:hAnsi="Times New Roman"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例如</w:t>
      </w:r>
      <w:r>
        <w:rPr>
          <w:rFonts w:hint="eastAsia" w:hAnsi="Times New Roman" w:cs="Times New Roman"/>
          <w:color w:val="auto"/>
          <w:sz w:val="32"/>
          <w:szCs w:val="32"/>
          <w:lang w:val="en-US" w:eastAsia="zh-CN"/>
        </w:rPr>
        <w:t>2021</w:t>
      </w:r>
      <w:r>
        <w:rPr>
          <w:rFonts w:hint="eastAsia" w:ascii="仿宋_GB2312" w:hAnsi="Times New Roman" w:eastAsia="仿宋_GB2312" w:cs="Times New Roman"/>
          <w:color w:val="auto"/>
          <w:sz w:val="32"/>
          <w:szCs w:val="32"/>
          <w:lang w:val="en-US" w:eastAsia="zh-CN"/>
        </w:rPr>
        <w:t>年绩效目标申报表中填写</w:t>
      </w:r>
      <w:r>
        <w:rPr>
          <w:rFonts w:hint="eastAsia" w:hAnsi="Times New Roman" w:cs="Times New Roman"/>
          <w:color w:val="auto"/>
          <w:sz w:val="32"/>
          <w:szCs w:val="32"/>
          <w:lang w:val="en-US" w:eastAsia="zh-CN"/>
        </w:rPr>
        <w:t>年度绩效目标的部分相关工作说明未明确具体的绩效目标值，应像</w:t>
      </w:r>
      <w:r>
        <w:rPr>
          <w:rFonts w:hint="eastAsia"/>
          <w:color w:val="auto"/>
        </w:rPr>
        <w:t>立法调研</w:t>
      </w:r>
      <w:r>
        <w:rPr>
          <w:rFonts w:hint="eastAsia"/>
          <w:color w:val="auto"/>
          <w:lang w:val="en-US" w:eastAsia="zh-CN"/>
        </w:rPr>
        <w:t>工作</w:t>
      </w:r>
      <w:r>
        <w:rPr>
          <w:rFonts w:hint="eastAsia"/>
          <w:color w:val="auto"/>
          <w:lang w:eastAsia="zh-CN"/>
        </w:rPr>
        <w:t>、</w:t>
      </w:r>
      <w:r>
        <w:rPr>
          <w:rFonts w:hint="eastAsia"/>
          <w:color w:val="auto"/>
        </w:rPr>
        <w:t>维护单位各类系统</w:t>
      </w:r>
      <w:r>
        <w:rPr>
          <w:rFonts w:hint="eastAsia"/>
          <w:color w:val="auto"/>
          <w:lang w:val="en-US" w:eastAsia="zh-CN"/>
        </w:rPr>
        <w:t>工作等设置具体的指标对其</w:t>
      </w:r>
      <w:r>
        <w:rPr>
          <w:rFonts w:hint="eastAsia" w:hAnsi="Times New Roman" w:cs="Times New Roman"/>
          <w:color w:val="auto"/>
          <w:sz w:val="32"/>
          <w:szCs w:val="32"/>
          <w:lang w:val="en-US" w:eastAsia="zh-CN"/>
        </w:rPr>
        <w:t>工作进行量化说明。</w:t>
      </w:r>
    </w:p>
    <w:p>
      <w:pPr>
        <w:pStyle w:val="24"/>
        <w:outlineLvl w:val="0"/>
        <w:rPr>
          <w:color w:val="auto"/>
        </w:rPr>
      </w:pPr>
      <w:r>
        <w:rPr>
          <w:rFonts w:hint="eastAsia"/>
          <w:color w:val="auto"/>
        </w:rPr>
        <w:t>下一步改进建议</w:t>
      </w:r>
      <w:bookmarkEnd w:id="112"/>
      <w:bookmarkEnd w:id="113"/>
      <w:bookmarkEnd w:id="114"/>
      <w:bookmarkEnd w:id="115"/>
    </w:p>
    <w:p>
      <w:pPr>
        <w:pStyle w:val="23"/>
        <w:numPr>
          <w:ilvl w:val="0"/>
          <w:numId w:val="7"/>
        </w:numPr>
        <w:outlineLvl w:val="1"/>
        <w:rPr>
          <w:rFonts w:hint="eastAsia" w:ascii="楷体" w:hAnsi="楷体" w:eastAsia="楷体" w:cs="楷体"/>
          <w:b/>
          <w:bCs/>
        </w:rPr>
      </w:pPr>
      <w:bookmarkStart w:id="116" w:name="_Toc25204"/>
      <w:r>
        <w:rPr>
          <w:rFonts w:hint="eastAsia" w:ascii="楷体" w:hAnsi="楷体" w:eastAsia="楷体" w:cs="楷体"/>
          <w:b/>
          <w:bCs/>
          <w:lang w:val="en-US" w:eastAsia="zh-CN"/>
        </w:rPr>
        <w:t>进一步细化绩效目标及指标设置</w:t>
      </w:r>
      <w:bookmarkEnd w:id="116"/>
    </w:p>
    <w:p>
      <w:pPr>
        <w:pStyle w:val="23"/>
        <w:numPr>
          <w:ilvl w:val="0"/>
          <w:numId w:val="0"/>
        </w:numPr>
        <w:tabs>
          <w:tab w:val="clear" w:pos="312"/>
        </w:tabs>
        <w:ind w:firstLine="640" w:firstLineChars="200"/>
        <w:rPr>
          <w:rFonts w:hint="eastAsia"/>
          <w:lang w:val="en-US" w:eastAsia="zh-CN"/>
        </w:rPr>
      </w:pPr>
      <w:r>
        <w:rPr>
          <w:rFonts w:hint="eastAsia"/>
          <w:lang w:val="en-US" w:eastAsia="zh-CN"/>
        </w:rPr>
        <w:t>绩效目标是对项目内容与目的的明确，指标是对绩效目</w:t>
      </w:r>
    </w:p>
    <w:p>
      <w:pPr>
        <w:pStyle w:val="23"/>
        <w:numPr>
          <w:ilvl w:val="0"/>
          <w:numId w:val="0"/>
        </w:numPr>
        <w:tabs>
          <w:tab w:val="clear" w:pos="312"/>
        </w:tabs>
        <w:rPr>
          <w:rFonts w:hint="eastAsia"/>
          <w:lang w:val="en-US" w:eastAsia="zh-CN"/>
        </w:rPr>
      </w:pPr>
      <w:r>
        <w:rPr>
          <w:rFonts w:hint="eastAsia"/>
          <w:lang w:val="en-US" w:eastAsia="zh-CN"/>
        </w:rPr>
        <w:t>标的细化，可衡量、可实现且具有时限性，二者的明确对项</w:t>
      </w:r>
    </w:p>
    <w:p>
      <w:pPr>
        <w:pStyle w:val="23"/>
        <w:numPr>
          <w:ilvl w:val="0"/>
          <w:numId w:val="0"/>
        </w:numPr>
        <w:tabs>
          <w:tab w:val="clear" w:pos="312"/>
        </w:tabs>
        <w:rPr>
          <w:rFonts w:hint="eastAsia"/>
          <w:lang w:val="en-US" w:eastAsia="zh-CN"/>
        </w:rPr>
      </w:pPr>
      <w:r>
        <w:rPr>
          <w:rFonts w:hint="eastAsia"/>
          <w:lang w:val="en-US" w:eastAsia="zh-CN"/>
        </w:rPr>
        <w:t>目实施具有指导及约束作用，能对项目各环节的实施起到监</w:t>
      </w:r>
    </w:p>
    <w:p>
      <w:pPr>
        <w:pStyle w:val="23"/>
        <w:numPr>
          <w:ilvl w:val="0"/>
          <w:numId w:val="0"/>
        </w:numPr>
        <w:tabs>
          <w:tab w:val="clear" w:pos="312"/>
        </w:tabs>
        <w:rPr>
          <w:rFonts w:hint="eastAsia"/>
          <w:lang w:val="en-US" w:eastAsia="zh-CN"/>
        </w:rPr>
      </w:pPr>
      <w:r>
        <w:rPr>
          <w:rFonts w:hint="eastAsia"/>
          <w:lang w:val="en-US" w:eastAsia="zh-CN"/>
        </w:rPr>
        <w:t>督的作用，从而降低项目实施过程中偏差的出现。一是建议</w:t>
      </w:r>
    </w:p>
    <w:p>
      <w:pPr>
        <w:pStyle w:val="23"/>
        <w:numPr>
          <w:ilvl w:val="0"/>
          <w:numId w:val="0"/>
        </w:numPr>
        <w:tabs>
          <w:tab w:val="clear" w:pos="312"/>
        </w:tabs>
        <w:rPr>
          <w:rFonts w:hint="eastAsia"/>
          <w:lang w:val="en-US" w:eastAsia="zh-CN"/>
        </w:rPr>
      </w:pPr>
      <w:r>
        <w:rPr>
          <w:rFonts w:hint="eastAsia"/>
          <w:lang w:val="en-US" w:eastAsia="zh-CN"/>
        </w:rPr>
        <w:t>项目实施单位在编制绩效目标时，根据项目年度计划实施内</w:t>
      </w:r>
    </w:p>
    <w:p>
      <w:pPr>
        <w:pStyle w:val="23"/>
        <w:numPr>
          <w:ilvl w:val="0"/>
          <w:numId w:val="0"/>
        </w:numPr>
        <w:tabs>
          <w:tab w:val="clear" w:pos="312"/>
        </w:tabs>
        <w:rPr>
          <w:rFonts w:hint="eastAsia"/>
          <w:lang w:val="en-US" w:eastAsia="zh-CN"/>
        </w:rPr>
      </w:pPr>
      <w:r>
        <w:rPr>
          <w:rFonts w:hint="eastAsia"/>
          <w:lang w:val="en-US" w:eastAsia="zh-CN"/>
        </w:rPr>
        <w:t>容，在明确各实施阶段及目的的基础上，将其以明确的年度</w:t>
      </w:r>
    </w:p>
    <w:p>
      <w:pPr>
        <w:pStyle w:val="23"/>
        <w:numPr>
          <w:ilvl w:val="0"/>
          <w:numId w:val="0"/>
        </w:numPr>
        <w:tabs>
          <w:tab w:val="clear" w:pos="312"/>
        </w:tabs>
      </w:pPr>
      <w:r>
        <w:rPr>
          <w:rFonts w:hint="eastAsia"/>
          <w:lang w:val="en-US" w:eastAsia="zh-CN"/>
        </w:rPr>
        <w:t>绩效目标予以体现</w:t>
      </w:r>
      <w:r>
        <w:rPr>
          <w:rFonts w:hint="eastAsia"/>
          <w:color w:val="auto"/>
          <w:lang w:val="en-US" w:eastAsia="zh-CN"/>
        </w:rPr>
        <w:t>，如说明甘肃省人民代表大会常务委员会办公厅业务费项目本年度工作</w:t>
      </w:r>
      <w:r>
        <w:rPr>
          <w:rFonts w:hint="eastAsia"/>
          <w:lang w:val="en-US" w:eastAsia="zh-CN"/>
        </w:rPr>
        <w:t>内容包括哪几类，并对应说明计划完成的具体工作量。同时，在明确的绩效目标的基础上，按照省级相关预算绩效管理要求，将绩效目标从投入和管理、产出、效益及影响力四个目标方面细化具体的绩效指标，以便监控与考核。</w:t>
      </w:r>
    </w:p>
    <w:p>
      <w:pPr>
        <w:pStyle w:val="24"/>
        <w:outlineLvl w:val="0"/>
      </w:pPr>
      <w:bookmarkStart w:id="117" w:name="_Toc21773"/>
      <w:bookmarkStart w:id="118" w:name="_Toc77066005"/>
      <w:bookmarkStart w:id="119" w:name="_Toc76132261"/>
      <w:bookmarkStart w:id="120" w:name="_Toc76133047"/>
      <w:r>
        <w:rPr>
          <w:rFonts w:hint="eastAsia"/>
        </w:rPr>
        <w:t>其他需要说明的问题</w:t>
      </w:r>
      <w:bookmarkEnd w:id="117"/>
      <w:bookmarkEnd w:id="118"/>
      <w:bookmarkEnd w:id="119"/>
      <w:bookmarkEnd w:id="120"/>
    </w:p>
    <w:p>
      <w:pPr>
        <w:pStyle w:val="23"/>
        <w:ind w:firstLine="640"/>
        <w:rPr>
          <w:rFonts w:hint="eastAsia" w:eastAsia="仿宋_GB2312"/>
          <w:lang w:val="en-US" w:eastAsia="zh-CN"/>
        </w:rPr>
      </w:pPr>
      <w:r>
        <w:rPr>
          <w:rFonts w:hint="eastAsia"/>
          <w:lang w:val="en-US" w:eastAsia="zh-CN"/>
        </w:rPr>
        <w:t>无</w:t>
      </w:r>
    </w:p>
    <w:p>
      <w:pPr>
        <w:pStyle w:val="23"/>
        <w:ind w:firstLine="640"/>
        <w:sectPr>
          <w:footerReference r:id="rId4" w:type="default"/>
          <w:pgSz w:w="11906" w:h="16838"/>
          <w:pgMar w:top="1701" w:right="1701" w:bottom="1701" w:left="1814" w:header="851" w:footer="992" w:gutter="0"/>
          <w:pgNumType w:fmt="decimal" w:start="1"/>
          <w:cols w:space="425" w:num="1"/>
          <w:docGrid w:type="lines" w:linePitch="312" w:charSpace="0"/>
        </w:sectPr>
      </w:pPr>
    </w:p>
    <w:p>
      <w:pPr>
        <w:pStyle w:val="23"/>
        <w:ind w:firstLine="0" w:firstLineChars="0"/>
        <w:outlineLvl w:val="1"/>
      </w:pPr>
      <w:bookmarkStart w:id="121" w:name="_Toc3680"/>
      <w:r>
        <w:rPr>
          <w:rFonts w:hint="eastAsia"/>
        </w:rPr>
        <w:t>附件</w:t>
      </w:r>
      <w:r>
        <w:t>1 综合评分表</w:t>
      </w:r>
      <w:bookmarkEnd w:id="121"/>
    </w:p>
    <w:tbl>
      <w:tblPr>
        <w:tblStyle w:val="14"/>
        <w:tblW w:w="15785" w:type="dxa"/>
        <w:jc w:val="center"/>
        <w:tblInd w:w="0" w:type="dxa"/>
        <w:tblLayout w:type="fixed"/>
        <w:tblCellMar>
          <w:top w:w="0" w:type="dxa"/>
          <w:left w:w="108" w:type="dxa"/>
          <w:bottom w:w="0" w:type="dxa"/>
          <w:right w:w="108" w:type="dxa"/>
        </w:tblCellMar>
      </w:tblPr>
      <w:tblGrid>
        <w:gridCol w:w="1186"/>
        <w:gridCol w:w="1443"/>
        <w:gridCol w:w="1200"/>
        <w:gridCol w:w="728"/>
        <w:gridCol w:w="1001"/>
        <w:gridCol w:w="2199"/>
        <w:gridCol w:w="6115"/>
        <w:gridCol w:w="972"/>
        <w:gridCol w:w="941"/>
      </w:tblGrid>
      <w:tr>
        <w:tblPrEx>
          <w:tblLayout w:type="fixed"/>
          <w:tblCellMar>
            <w:top w:w="0" w:type="dxa"/>
            <w:left w:w="108" w:type="dxa"/>
            <w:bottom w:w="0" w:type="dxa"/>
            <w:right w:w="108" w:type="dxa"/>
          </w:tblCellMar>
        </w:tblPrEx>
        <w:trPr>
          <w:cantSplit/>
          <w:trHeight w:val="454" w:hRule="atLeast"/>
          <w:tblHeader/>
          <w:jc w:val="center"/>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pPr>
            <w:r>
              <w:t>一级指标</w:t>
            </w:r>
          </w:p>
        </w:tc>
        <w:tc>
          <w:tcPr>
            <w:tcW w:w="1443" w:type="dxa"/>
            <w:tcBorders>
              <w:top w:val="single" w:color="auto" w:sz="4" w:space="0"/>
              <w:left w:val="nil"/>
              <w:bottom w:val="single" w:color="auto" w:sz="4" w:space="0"/>
              <w:right w:val="single" w:color="auto" w:sz="4" w:space="0"/>
            </w:tcBorders>
            <w:shd w:val="clear" w:color="auto" w:fill="auto"/>
            <w:vAlign w:val="center"/>
          </w:tcPr>
          <w:p>
            <w:pPr>
              <w:pStyle w:val="26"/>
            </w:pPr>
            <w:r>
              <w:t>二级指标</w:t>
            </w:r>
          </w:p>
        </w:tc>
        <w:tc>
          <w:tcPr>
            <w:tcW w:w="1200" w:type="dxa"/>
            <w:tcBorders>
              <w:top w:val="single" w:color="auto" w:sz="4" w:space="0"/>
              <w:left w:val="nil"/>
              <w:bottom w:val="single" w:color="auto" w:sz="4" w:space="0"/>
              <w:right w:val="single" w:color="auto" w:sz="4" w:space="0"/>
            </w:tcBorders>
            <w:shd w:val="clear" w:color="auto" w:fill="auto"/>
            <w:vAlign w:val="center"/>
          </w:tcPr>
          <w:p>
            <w:pPr>
              <w:pStyle w:val="26"/>
            </w:pPr>
            <w:r>
              <w:t>三级指标</w:t>
            </w:r>
          </w:p>
        </w:tc>
        <w:tc>
          <w:tcPr>
            <w:tcW w:w="728" w:type="dxa"/>
            <w:tcBorders>
              <w:top w:val="single" w:color="auto" w:sz="4" w:space="0"/>
              <w:left w:val="nil"/>
              <w:bottom w:val="single" w:color="auto" w:sz="4" w:space="0"/>
              <w:right w:val="single" w:color="auto" w:sz="4" w:space="0"/>
            </w:tcBorders>
            <w:shd w:val="clear" w:color="auto" w:fill="auto"/>
            <w:vAlign w:val="center"/>
          </w:tcPr>
          <w:p>
            <w:pPr>
              <w:pStyle w:val="26"/>
            </w:pPr>
            <w:r>
              <w:t>分值</w:t>
            </w:r>
          </w:p>
        </w:tc>
        <w:tc>
          <w:tcPr>
            <w:tcW w:w="1001" w:type="dxa"/>
            <w:tcBorders>
              <w:top w:val="single" w:color="auto" w:sz="4" w:space="0"/>
              <w:left w:val="nil"/>
              <w:bottom w:val="single" w:color="auto" w:sz="4" w:space="0"/>
              <w:right w:val="single" w:color="auto" w:sz="4" w:space="0"/>
            </w:tcBorders>
            <w:shd w:val="clear" w:color="auto" w:fill="auto"/>
            <w:vAlign w:val="center"/>
          </w:tcPr>
          <w:p>
            <w:pPr>
              <w:pStyle w:val="26"/>
            </w:pPr>
            <w:r>
              <w:t>标杆值</w:t>
            </w:r>
          </w:p>
        </w:tc>
        <w:tc>
          <w:tcPr>
            <w:tcW w:w="2199" w:type="dxa"/>
            <w:tcBorders>
              <w:top w:val="single" w:color="auto" w:sz="4" w:space="0"/>
              <w:left w:val="nil"/>
              <w:bottom w:val="single" w:color="auto" w:sz="4" w:space="0"/>
              <w:right w:val="single" w:color="auto" w:sz="4" w:space="0"/>
            </w:tcBorders>
            <w:shd w:val="clear" w:color="auto" w:fill="auto"/>
            <w:vAlign w:val="center"/>
          </w:tcPr>
          <w:p>
            <w:pPr>
              <w:pStyle w:val="26"/>
            </w:pPr>
            <w:r>
              <w:t>评价标准</w:t>
            </w:r>
          </w:p>
        </w:tc>
        <w:tc>
          <w:tcPr>
            <w:tcW w:w="6115" w:type="dxa"/>
            <w:tcBorders>
              <w:top w:val="single" w:color="auto" w:sz="4" w:space="0"/>
              <w:left w:val="nil"/>
              <w:bottom w:val="single" w:color="auto" w:sz="4" w:space="0"/>
              <w:right w:val="single" w:color="auto" w:sz="4" w:space="0"/>
            </w:tcBorders>
            <w:shd w:val="clear" w:color="auto" w:fill="auto"/>
            <w:vAlign w:val="center"/>
          </w:tcPr>
          <w:p>
            <w:pPr>
              <w:pStyle w:val="26"/>
            </w:pPr>
            <w:r>
              <w:t>评分过程及依据</w:t>
            </w:r>
          </w:p>
        </w:tc>
        <w:tc>
          <w:tcPr>
            <w:tcW w:w="972" w:type="dxa"/>
            <w:tcBorders>
              <w:top w:val="single" w:color="auto" w:sz="4" w:space="0"/>
              <w:left w:val="nil"/>
              <w:bottom w:val="single" w:color="auto" w:sz="4" w:space="0"/>
              <w:right w:val="single" w:color="auto" w:sz="4" w:space="0"/>
            </w:tcBorders>
            <w:shd w:val="clear" w:color="auto" w:fill="auto"/>
            <w:vAlign w:val="center"/>
          </w:tcPr>
          <w:p>
            <w:pPr>
              <w:pStyle w:val="26"/>
            </w:pPr>
            <w:r>
              <w:t>得分率</w:t>
            </w:r>
          </w:p>
        </w:tc>
        <w:tc>
          <w:tcPr>
            <w:tcW w:w="941" w:type="dxa"/>
            <w:tcBorders>
              <w:top w:val="single" w:color="auto" w:sz="4" w:space="0"/>
              <w:left w:val="nil"/>
              <w:bottom w:val="single" w:color="auto" w:sz="4" w:space="0"/>
              <w:right w:val="single" w:color="auto" w:sz="4" w:space="0"/>
            </w:tcBorders>
            <w:shd w:val="clear" w:color="auto" w:fill="auto"/>
            <w:vAlign w:val="center"/>
          </w:tcPr>
          <w:p>
            <w:pPr>
              <w:pStyle w:val="26"/>
            </w:pPr>
            <w:r>
              <w:t>得分</w:t>
            </w:r>
          </w:p>
        </w:tc>
      </w:tr>
      <w:tr>
        <w:tblPrEx>
          <w:tblLayout w:type="fixed"/>
          <w:tblCellMar>
            <w:top w:w="0" w:type="dxa"/>
            <w:left w:w="108" w:type="dxa"/>
            <w:bottom w:w="0" w:type="dxa"/>
            <w:right w:w="108" w:type="dxa"/>
          </w:tblCellMar>
        </w:tblPrEx>
        <w:trPr>
          <w:cantSplit/>
          <w:trHeight w:val="450" w:hRule="atLeast"/>
          <w:jc w:val="center"/>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pStyle w:val="26"/>
            </w:pPr>
            <w:r>
              <w:t>项目决策（20）</w:t>
            </w:r>
          </w:p>
        </w:tc>
        <w:tc>
          <w:tcPr>
            <w:tcW w:w="1443" w:type="dxa"/>
            <w:tcBorders>
              <w:top w:val="single" w:color="auto" w:sz="4" w:space="0"/>
              <w:left w:val="single" w:color="auto" w:sz="4" w:space="0"/>
              <w:bottom w:val="single" w:color="auto" w:sz="4" w:space="0"/>
              <w:right w:val="single" w:color="auto" w:sz="4" w:space="0"/>
            </w:tcBorders>
            <w:vAlign w:val="center"/>
          </w:tcPr>
          <w:p>
            <w:pPr>
              <w:pStyle w:val="26"/>
            </w:pPr>
            <w:r>
              <w:t>项目目标（4）</w:t>
            </w:r>
          </w:p>
        </w:tc>
        <w:tc>
          <w:tcPr>
            <w:tcW w:w="1200" w:type="dxa"/>
            <w:tcBorders>
              <w:top w:val="single" w:color="auto" w:sz="4" w:space="0"/>
              <w:left w:val="nil"/>
              <w:bottom w:val="single" w:color="auto" w:sz="4" w:space="0"/>
              <w:right w:val="single" w:color="auto" w:sz="4" w:space="0"/>
            </w:tcBorders>
            <w:vAlign w:val="center"/>
          </w:tcPr>
          <w:p>
            <w:pPr>
              <w:pStyle w:val="26"/>
            </w:pPr>
            <w:r>
              <w:t>目标内容</w:t>
            </w:r>
          </w:p>
        </w:tc>
        <w:tc>
          <w:tcPr>
            <w:tcW w:w="728" w:type="dxa"/>
            <w:tcBorders>
              <w:top w:val="single" w:color="auto" w:sz="4" w:space="0"/>
              <w:left w:val="nil"/>
              <w:bottom w:val="single" w:color="auto" w:sz="4" w:space="0"/>
              <w:right w:val="single" w:color="auto" w:sz="4" w:space="0"/>
            </w:tcBorders>
            <w:vAlign w:val="center"/>
          </w:tcPr>
          <w:p>
            <w:pPr>
              <w:pStyle w:val="26"/>
            </w:pPr>
            <w:r>
              <w:t>4</w:t>
            </w:r>
          </w:p>
        </w:tc>
        <w:tc>
          <w:tcPr>
            <w:tcW w:w="1001" w:type="dxa"/>
            <w:tcBorders>
              <w:top w:val="single" w:color="auto" w:sz="4" w:space="0"/>
              <w:left w:val="nil"/>
              <w:bottom w:val="single" w:color="auto" w:sz="4" w:space="0"/>
              <w:right w:val="single" w:color="auto" w:sz="4" w:space="0"/>
            </w:tcBorders>
            <w:vAlign w:val="center"/>
          </w:tcPr>
          <w:p>
            <w:pPr>
              <w:pStyle w:val="26"/>
            </w:pPr>
            <w:r>
              <w:t>明确</w:t>
            </w:r>
          </w:p>
        </w:tc>
        <w:tc>
          <w:tcPr>
            <w:tcW w:w="2199" w:type="dxa"/>
            <w:tcBorders>
              <w:top w:val="single" w:color="auto" w:sz="4" w:space="0"/>
              <w:left w:val="nil"/>
              <w:bottom w:val="single" w:color="auto" w:sz="4" w:space="0"/>
              <w:right w:val="single" w:color="auto" w:sz="4" w:space="0"/>
            </w:tcBorders>
            <w:vAlign w:val="center"/>
          </w:tcPr>
          <w:p>
            <w:pPr>
              <w:pStyle w:val="26"/>
              <w:jc w:val="left"/>
              <w:rPr>
                <w:color w:val="auto"/>
              </w:rPr>
            </w:pPr>
            <w:r>
              <w:rPr>
                <w:color w:val="auto"/>
              </w:rPr>
              <w:t>目标明确（1分），目标细化（1分），目标量化（2分）</w:t>
            </w:r>
          </w:p>
        </w:tc>
        <w:tc>
          <w:tcPr>
            <w:tcW w:w="6115" w:type="dxa"/>
            <w:tcBorders>
              <w:top w:val="single" w:color="auto" w:sz="4" w:space="0"/>
              <w:left w:val="nil"/>
              <w:bottom w:val="single" w:color="auto" w:sz="4" w:space="0"/>
              <w:right w:val="single" w:color="auto" w:sz="4" w:space="0"/>
            </w:tcBorders>
            <w:vAlign w:val="center"/>
          </w:tcPr>
          <w:p>
            <w:pPr>
              <w:pStyle w:val="26"/>
              <w:jc w:val="left"/>
              <w:rPr>
                <w:color w:val="auto"/>
              </w:rPr>
            </w:pPr>
            <w:r>
              <w:rPr>
                <w:rFonts w:hint="eastAsia" w:ascii="宋体" w:hAnsi="宋体" w:eastAsia="宋体" w:cs="宋体"/>
                <w:color w:val="auto"/>
              </w:rPr>
              <w:t>①</w:t>
            </w:r>
            <w:r>
              <w:rPr>
                <w:rFonts w:hint="eastAsia" w:eastAsia="宋体"/>
                <w:color w:val="auto"/>
                <w:lang w:eastAsia="zh-CN"/>
              </w:rPr>
              <w:t>2021</w:t>
            </w:r>
            <w:r>
              <w:rPr>
                <w:color w:val="auto"/>
              </w:rPr>
              <w:t>年度，</w:t>
            </w:r>
            <w:r>
              <w:rPr>
                <w:rFonts w:hint="eastAsia"/>
                <w:color w:val="auto"/>
                <w:lang w:eastAsia="zh-CN"/>
              </w:rPr>
              <w:t>甘肃省人民代表大会常务委员会办公厅</w:t>
            </w:r>
            <w:r>
              <w:rPr>
                <w:color w:val="auto"/>
              </w:rPr>
              <w:t>上报了该项目绩效目标申报表，该项目绩效目标明确；</w:t>
            </w:r>
            <w:r>
              <w:rPr>
                <w:rFonts w:hint="eastAsia" w:ascii="宋体" w:hAnsi="宋体" w:eastAsia="宋体" w:cs="宋体"/>
                <w:color w:val="auto"/>
              </w:rPr>
              <w:t>②</w:t>
            </w:r>
            <w:r>
              <w:rPr>
                <w:color w:val="auto"/>
              </w:rPr>
              <w:t>该项目绩效目标为</w:t>
            </w:r>
            <w:r>
              <w:rPr>
                <w:rFonts w:hint="eastAsia"/>
                <w:color w:val="auto"/>
                <w:lang w:eastAsia="zh-CN"/>
              </w:rPr>
              <w:t>甘肃省人民代表大会常务委员会办公厅业务费项目</w:t>
            </w:r>
            <w:r>
              <w:rPr>
                <w:rFonts w:hint="eastAsia"/>
                <w:color w:val="auto"/>
              </w:rPr>
              <w:t>。该目标</w:t>
            </w:r>
            <w:r>
              <w:rPr>
                <w:color w:val="auto"/>
              </w:rPr>
              <w:t>较细化、量化，指标值设置合理</w:t>
            </w:r>
            <w:r>
              <w:rPr>
                <w:rFonts w:hint="eastAsia"/>
                <w:color w:val="auto"/>
              </w:rPr>
              <w:t>。</w:t>
            </w:r>
          </w:p>
        </w:tc>
        <w:tc>
          <w:tcPr>
            <w:tcW w:w="972" w:type="dxa"/>
            <w:tcBorders>
              <w:top w:val="single" w:color="auto" w:sz="4" w:space="0"/>
              <w:left w:val="nil"/>
              <w:bottom w:val="single" w:color="auto" w:sz="4" w:space="0"/>
              <w:right w:val="single" w:color="auto" w:sz="4" w:space="0"/>
            </w:tcBorders>
            <w:vAlign w:val="center"/>
          </w:tcPr>
          <w:p>
            <w:pPr>
              <w:pStyle w:val="26"/>
              <w:rPr>
                <w:color w:val="auto"/>
              </w:rPr>
            </w:pPr>
            <w:r>
              <w:rPr>
                <w:rFonts w:hint="eastAsia"/>
                <w:color w:val="auto"/>
              </w:rPr>
              <w:t>100</w:t>
            </w:r>
            <w:r>
              <w:rPr>
                <w:color w:val="auto"/>
              </w:rPr>
              <w:t>%</w:t>
            </w:r>
          </w:p>
        </w:tc>
        <w:tc>
          <w:tcPr>
            <w:tcW w:w="941" w:type="dxa"/>
            <w:tcBorders>
              <w:top w:val="single" w:color="auto" w:sz="4" w:space="0"/>
              <w:left w:val="nil"/>
              <w:bottom w:val="single" w:color="auto" w:sz="4" w:space="0"/>
              <w:right w:val="single" w:color="auto" w:sz="4" w:space="0"/>
            </w:tcBorders>
            <w:vAlign w:val="center"/>
          </w:tcPr>
          <w:p>
            <w:pPr>
              <w:pStyle w:val="26"/>
              <w:rPr>
                <w:color w:val="auto"/>
              </w:rPr>
            </w:pPr>
            <w:r>
              <w:rPr>
                <w:rFonts w:hint="eastAsia"/>
                <w:color w:val="auto"/>
              </w:rPr>
              <w:t>4</w:t>
            </w:r>
          </w:p>
        </w:tc>
      </w:tr>
      <w:tr>
        <w:tblPrEx>
          <w:tblLayout w:type="fixed"/>
          <w:tblCellMar>
            <w:top w:w="0" w:type="dxa"/>
            <w:left w:w="108" w:type="dxa"/>
            <w:bottom w:w="0" w:type="dxa"/>
            <w:right w:w="108" w:type="dxa"/>
          </w:tblCellMar>
        </w:tblPrEx>
        <w:trPr>
          <w:cantSplit/>
          <w:trHeight w:val="705"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vMerge w:val="restart"/>
            <w:tcBorders>
              <w:top w:val="single" w:color="auto" w:sz="4" w:space="0"/>
              <w:left w:val="single" w:color="auto" w:sz="4" w:space="0"/>
              <w:bottom w:val="single" w:color="auto" w:sz="4" w:space="0"/>
              <w:right w:val="single" w:color="auto" w:sz="4" w:space="0"/>
            </w:tcBorders>
            <w:vAlign w:val="center"/>
          </w:tcPr>
          <w:p>
            <w:pPr>
              <w:pStyle w:val="26"/>
              <w:rPr>
                <w:highlight w:val="yellow"/>
              </w:rPr>
            </w:pPr>
            <w:r>
              <w:t>决策过程（8）</w:t>
            </w:r>
          </w:p>
        </w:tc>
        <w:tc>
          <w:tcPr>
            <w:tcW w:w="1200" w:type="dxa"/>
            <w:tcBorders>
              <w:top w:val="single" w:color="auto" w:sz="4" w:space="0"/>
              <w:left w:val="nil"/>
              <w:bottom w:val="single" w:color="auto" w:sz="4" w:space="0"/>
              <w:right w:val="single" w:color="auto" w:sz="4" w:space="0"/>
            </w:tcBorders>
            <w:vAlign w:val="center"/>
          </w:tcPr>
          <w:p>
            <w:pPr>
              <w:pStyle w:val="26"/>
            </w:pPr>
            <w:r>
              <w:t>决策依据</w:t>
            </w:r>
          </w:p>
        </w:tc>
        <w:tc>
          <w:tcPr>
            <w:tcW w:w="728" w:type="dxa"/>
            <w:tcBorders>
              <w:top w:val="single" w:color="auto" w:sz="4" w:space="0"/>
              <w:left w:val="nil"/>
              <w:bottom w:val="single" w:color="auto" w:sz="4" w:space="0"/>
              <w:right w:val="single" w:color="auto" w:sz="4" w:space="0"/>
            </w:tcBorders>
            <w:vAlign w:val="center"/>
          </w:tcPr>
          <w:p>
            <w:pPr>
              <w:pStyle w:val="26"/>
            </w:pPr>
            <w:r>
              <w:t>3</w:t>
            </w:r>
          </w:p>
        </w:tc>
        <w:tc>
          <w:tcPr>
            <w:tcW w:w="1001" w:type="dxa"/>
            <w:tcBorders>
              <w:top w:val="single" w:color="auto" w:sz="4" w:space="0"/>
              <w:left w:val="nil"/>
              <w:bottom w:val="single" w:color="auto" w:sz="4" w:space="0"/>
              <w:right w:val="single" w:color="auto" w:sz="4" w:space="0"/>
            </w:tcBorders>
            <w:vAlign w:val="center"/>
          </w:tcPr>
          <w:p>
            <w:pPr>
              <w:pStyle w:val="26"/>
            </w:pPr>
            <w:r>
              <w:t>充分</w:t>
            </w:r>
          </w:p>
        </w:tc>
        <w:tc>
          <w:tcPr>
            <w:tcW w:w="2199" w:type="dxa"/>
            <w:tcBorders>
              <w:top w:val="single" w:color="auto" w:sz="4" w:space="0"/>
              <w:left w:val="nil"/>
              <w:bottom w:val="single" w:color="auto" w:sz="4" w:space="0"/>
              <w:right w:val="single" w:color="auto" w:sz="4" w:space="0"/>
            </w:tcBorders>
            <w:vAlign w:val="center"/>
          </w:tcPr>
          <w:p>
            <w:pPr>
              <w:pStyle w:val="26"/>
              <w:jc w:val="left"/>
            </w:pPr>
            <w:r>
              <w:t>项目符合经济社会发展规划和部门年度工作计划（2分），根据需要制定中长期实施规划（1分）</w:t>
            </w:r>
          </w:p>
        </w:tc>
        <w:tc>
          <w:tcPr>
            <w:tcW w:w="6115" w:type="dxa"/>
            <w:tcBorders>
              <w:top w:val="single" w:color="auto" w:sz="4" w:space="0"/>
              <w:left w:val="nil"/>
              <w:bottom w:val="single" w:color="auto" w:sz="4" w:space="0"/>
              <w:right w:val="single" w:color="auto" w:sz="4" w:space="0"/>
            </w:tcBorders>
            <w:vAlign w:val="center"/>
          </w:tcPr>
          <w:p>
            <w:pPr>
              <w:pStyle w:val="26"/>
              <w:jc w:val="left"/>
              <w:rPr>
                <w:color w:val="auto"/>
              </w:rPr>
            </w:pPr>
            <w:r>
              <w:rPr>
                <w:rFonts w:hint="eastAsia"/>
                <w:color w:val="auto"/>
              </w:rPr>
              <w:t>本项目，</w:t>
            </w:r>
            <w:r>
              <w:rPr>
                <w:color w:val="auto"/>
              </w:rPr>
              <w:t>符合经济社会发展规划和部门年度工作计划</w:t>
            </w:r>
            <w:r>
              <w:rPr>
                <w:rFonts w:hint="eastAsia"/>
                <w:color w:val="auto"/>
                <w:lang w:eastAsia="zh-CN"/>
              </w:rPr>
              <w:t>，</w:t>
            </w:r>
            <w:r>
              <w:rPr>
                <w:rFonts w:hint="eastAsia"/>
                <w:color w:val="auto"/>
                <w:lang w:val="en-US" w:eastAsia="zh-CN"/>
              </w:rPr>
              <w:t>并</w:t>
            </w:r>
            <w:r>
              <w:rPr>
                <w:color w:val="auto"/>
              </w:rPr>
              <w:t>制定中长期实施规划</w:t>
            </w:r>
            <w:r>
              <w:rPr>
                <w:rFonts w:hint="eastAsia"/>
                <w:color w:val="auto"/>
                <w:lang w:eastAsia="zh-CN"/>
              </w:rPr>
              <w:t>，</w:t>
            </w:r>
            <w:r>
              <w:rPr>
                <w:rFonts w:hint="eastAsia"/>
                <w:color w:val="auto"/>
              </w:rPr>
              <w:t>因此该项指标得满分。</w:t>
            </w:r>
          </w:p>
        </w:tc>
        <w:tc>
          <w:tcPr>
            <w:tcW w:w="972" w:type="dxa"/>
            <w:tcBorders>
              <w:top w:val="single" w:color="auto" w:sz="4" w:space="0"/>
              <w:left w:val="nil"/>
              <w:bottom w:val="single" w:color="auto" w:sz="4" w:space="0"/>
              <w:right w:val="single" w:color="auto" w:sz="4" w:space="0"/>
            </w:tcBorders>
            <w:vAlign w:val="center"/>
          </w:tcPr>
          <w:p>
            <w:pPr>
              <w:pStyle w:val="26"/>
              <w:rPr>
                <w:color w:val="auto"/>
              </w:rPr>
            </w:pPr>
            <w:r>
              <w:rPr>
                <w:rFonts w:hint="eastAsia"/>
                <w:color w:val="auto"/>
              </w:rPr>
              <w:t>100%</w:t>
            </w:r>
          </w:p>
        </w:tc>
        <w:tc>
          <w:tcPr>
            <w:tcW w:w="941" w:type="dxa"/>
            <w:tcBorders>
              <w:top w:val="single" w:color="auto" w:sz="4" w:space="0"/>
              <w:left w:val="nil"/>
              <w:bottom w:val="single" w:color="auto" w:sz="4" w:space="0"/>
              <w:right w:val="single" w:color="auto" w:sz="4" w:space="0"/>
            </w:tcBorders>
            <w:vAlign w:val="center"/>
          </w:tcPr>
          <w:p>
            <w:pPr>
              <w:pStyle w:val="26"/>
              <w:rPr>
                <w:color w:val="auto"/>
                <w:highlight w:val="yellow"/>
              </w:rPr>
            </w:pPr>
            <w:r>
              <w:rPr>
                <w:color w:val="auto"/>
              </w:rPr>
              <w:t>3</w:t>
            </w:r>
          </w:p>
        </w:tc>
      </w:tr>
      <w:tr>
        <w:tblPrEx>
          <w:tblLayout w:type="fixed"/>
          <w:tblCellMar>
            <w:top w:w="0" w:type="dxa"/>
            <w:left w:w="108" w:type="dxa"/>
            <w:bottom w:w="0" w:type="dxa"/>
            <w:right w:w="108" w:type="dxa"/>
          </w:tblCellMar>
        </w:tblPrEx>
        <w:trPr>
          <w:cantSplit/>
          <w:trHeight w:val="675"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vMerge w:val="continue"/>
            <w:tcBorders>
              <w:top w:val="nil"/>
              <w:left w:val="single" w:color="auto" w:sz="4" w:space="0"/>
              <w:bottom w:val="single" w:color="auto" w:sz="4" w:space="0"/>
              <w:right w:val="single" w:color="auto" w:sz="4" w:space="0"/>
            </w:tcBorders>
            <w:vAlign w:val="center"/>
          </w:tcPr>
          <w:p>
            <w:pPr>
              <w:pStyle w:val="26"/>
              <w:rPr>
                <w:highlight w:val="yellow"/>
              </w:rPr>
            </w:pPr>
          </w:p>
        </w:tc>
        <w:tc>
          <w:tcPr>
            <w:tcW w:w="1200" w:type="dxa"/>
            <w:tcBorders>
              <w:top w:val="nil"/>
              <w:left w:val="nil"/>
              <w:bottom w:val="single" w:color="auto" w:sz="4" w:space="0"/>
              <w:right w:val="single" w:color="auto" w:sz="4" w:space="0"/>
            </w:tcBorders>
            <w:vAlign w:val="center"/>
          </w:tcPr>
          <w:p>
            <w:pPr>
              <w:pStyle w:val="26"/>
            </w:pPr>
            <w:r>
              <w:t>决策程序</w:t>
            </w:r>
          </w:p>
        </w:tc>
        <w:tc>
          <w:tcPr>
            <w:tcW w:w="728" w:type="dxa"/>
            <w:tcBorders>
              <w:top w:val="nil"/>
              <w:left w:val="nil"/>
              <w:bottom w:val="single" w:color="auto" w:sz="4" w:space="0"/>
              <w:right w:val="single" w:color="auto" w:sz="4" w:space="0"/>
            </w:tcBorders>
            <w:vAlign w:val="center"/>
          </w:tcPr>
          <w:p>
            <w:pPr>
              <w:pStyle w:val="26"/>
            </w:pPr>
            <w:r>
              <w:t>5</w:t>
            </w:r>
          </w:p>
        </w:tc>
        <w:tc>
          <w:tcPr>
            <w:tcW w:w="1001" w:type="dxa"/>
            <w:tcBorders>
              <w:top w:val="single" w:color="auto" w:sz="4" w:space="0"/>
              <w:left w:val="nil"/>
              <w:bottom w:val="single" w:color="auto" w:sz="4" w:space="0"/>
              <w:right w:val="single" w:color="auto" w:sz="4" w:space="0"/>
            </w:tcBorders>
            <w:vAlign w:val="center"/>
          </w:tcPr>
          <w:p>
            <w:pPr>
              <w:pStyle w:val="26"/>
            </w:pPr>
            <w:r>
              <w:t>规范</w:t>
            </w:r>
          </w:p>
        </w:tc>
        <w:tc>
          <w:tcPr>
            <w:tcW w:w="2199" w:type="dxa"/>
            <w:tcBorders>
              <w:top w:val="nil"/>
              <w:left w:val="nil"/>
              <w:bottom w:val="single" w:color="auto" w:sz="4" w:space="0"/>
              <w:right w:val="single" w:color="auto" w:sz="4" w:space="0"/>
            </w:tcBorders>
            <w:vAlign w:val="center"/>
          </w:tcPr>
          <w:p>
            <w:pPr>
              <w:pStyle w:val="26"/>
              <w:jc w:val="left"/>
            </w:pPr>
            <w:r>
              <w:t>项目符合申报条件（2分），申报、批复程序符合相关管理办法（2分），项目实施调整履行相应手续（1分）</w:t>
            </w:r>
          </w:p>
        </w:tc>
        <w:tc>
          <w:tcPr>
            <w:tcW w:w="6115" w:type="dxa"/>
            <w:tcBorders>
              <w:top w:val="nil"/>
              <w:left w:val="nil"/>
              <w:bottom w:val="single" w:color="auto" w:sz="4" w:space="0"/>
              <w:right w:val="single" w:color="auto" w:sz="4" w:space="0"/>
            </w:tcBorders>
            <w:vAlign w:val="center"/>
          </w:tcPr>
          <w:p>
            <w:pPr>
              <w:pStyle w:val="26"/>
              <w:jc w:val="left"/>
              <w:rPr>
                <w:color w:val="auto"/>
              </w:rPr>
            </w:pPr>
            <w:r>
              <w:rPr>
                <w:color w:val="auto"/>
              </w:rPr>
              <w:t>本项目的决策程序为</w:t>
            </w:r>
            <w:r>
              <w:rPr>
                <w:rFonts w:hint="eastAsia"/>
                <w:color w:val="auto"/>
              </w:rPr>
              <w:t>立项目标合理，项目立项依据充分、规范，为</w:t>
            </w:r>
            <w:r>
              <w:rPr>
                <w:rFonts w:hint="eastAsia"/>
                <w:color w:val="auto"/>
                <w:lang w:val="en-US" w:eastAsia="zh-CN"/>
              </w:rPr>
              <w:t>机关日常工作提供了有力保障</w:t>
            </w:r>
            <w:r>
              <w:rPr>
                <w:rFonts w:hint="eastAsia"/>
                <w:color w:val="auto"/>
              </w:rPr>
              <w:t>。</w:t>
            </w:r>
            <w:r>
              <w:rPr>
                <w:color w:val="auto"/>
              </w:rPr>
              <w:t>决策过程规范，因此该项指标得满分。</w:t>
            </w:r>
          </w:p>
        </w:tc>
        <w:tc>
          <w:tcPr>
            <w:tcW w:w="972" w:type="dxa"/>
            <w:tcBorders>
              <w:top w:val="nil"/>
              <w:left w:val="nil"/>
              <w:bottom w:val="single" w:color="auto" w:sz="4" w:space="0"/>
              <w:right w:val="single" w:color="auto" w:sz="4" w:space="0"/>
            </w:tcBorders>
            <w:vAlign w:val="center"/>
          </w:tcPr>
          <w:p>
            <w:pPr>
              <w:pStyle w:val="26"/>
              <w:rPr>
                <w:color w:val="auto"/>
              </w:rPr>
            </w:pPr>
            <w:r>
              <w:rPr>
                <w:color w:val="auto"/>
              </w:rPr>
              <w:t>100%</w:t>
            </w:r>
          </w:p>
        </w:tc>
        <w:tc>
          <w:tcPr>
            <w:tcW w:w="941" w:type="dxa"/>
            <w:tcBorders>
              <w:top w:val="nil"/>
              <w:left w:val="nil"/>
              <w:bottom w:val="single" w:color="auto" w:sz="4" w:space="0"/>
              <w:right w:val="single" w:color="auto" w:sz="4" w:space="0"/>
            </w:tcBorders>
            <w:vAlign w:val="center"/>
          </w:tcPr>
          <w:p>
            <w:pPr>
              <w:pStyle w:val="26"/>
              <w:rPr>
                <w:color w:val="auto"/>
              </w:rPr>
            </w:pPr>
            <w:r>
              <w:rPr>
                <w:color w:val="auto"/>
              </w:rPr>
              <w:t>5</w:t>
            </w:r>
          </w:p>
        </w:tc>
      </w:tr>
      <w:tr>
        <w:tblPrEx>
          <w:tblLayout w:type="fixed"/>
          <w:tblCellMar>
            <w:top w:w="0" w:type="dxa"/>
            <w:left w:w="108" w:type="dxa"/>
            <w:bottom w:w="0" w:type="dxa"/>
            <w:right w:w="108" w:type="dxa"/>
          </w:tblCellMar>
        </w:tblPrEx>
        <w:trPr>
          <w:cantSplit/>
          <w:trHeight w:val="780"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vMerge w:val="restart"/>
            <w:tcBorders>
              <w:top w:val="nil"/>
              <w:left w:val="single" w:color="auto" w:sz="4" w:space="0"/>
              <w:bottom w:val="single" w:color="auto" w:sz="4" w:space="0"/>
              <w:right w:val="single" w:color="auto" w:sz="4" w:space="0"/>
            </w:tcBorders>
            <w:vAlign w:val="center"/>
          </w:tcPr>
          <w:p>
            <w:pPr>
              <w:pStyle w:val="26"/>
            </w:pPr>
            <w:r>
              <w:t>资金分配（8）</w:t>
            </w:r>
          </w:p>
        </w:tc>
        <w:tc>
          <w:tcPr>
            <w:tcW w:w="1200" w:type="dxa"/>
            <w:tcBorders>
              <w:top w:val="nil"/>
              <w:left w:val="nil"/>
              <w:bottom w:val="single" w:color="auto" w:sz="4" w:space="0"/>
              <w:right w:val="single" w:color="auto" w:sz="4" w:space="0"/>
            </w:tcBorders>
            <w:vAlign w:val="center"/>
          </w:tcPr>
          <w:p>
            <w:pPr>
              <w:pStyle w:val="26"/>
            </w:pPr>
            <w:r>
              <w:t>分配办法</w:t>
            </w:r>
          </w:p>
        </w:tc>
        <w:tc>
          <w:tcPr>
            <w:tcW w:w="728" w:type="dxa"/>
            <w:tcBorders>
              <w:top w:val="nil"/>
              <w:left w:val="nil"/>
              <w:bottom w:val="single" w:color="auto" w:sz="4" w:space="0"/>
              <w:right w:val="single" w:color="auto" w:sz="4" w:space="0"/>
            </w:tcBorders>
            <w:vAlign w:val="center"/>
          </w:tcPr>
          <w:p>
            <w:pPr>
              <w:pStyle w:val="26"/>
            </w:pPr>
            <w:r>
              <w:t>2</w:t>
            </w:r>
          </w:p>
        </w:tc>
        <w:tc>
          <w:tcPr>
            <w:tcW w:w="1001" w:type="dxa"/>
            <w:tcBorders>
              <w:top w:val="single" w:color="auto" w:sz="4" w:space="0"/>
              <w:left w:val="nil"/>
              <w:bottom w:val="single" w:color="auto" w:sz="4" w:space="0"/>
              <w:right w:val="single" w:color="auto" w:sz="4" w:space="0"/>
            </w:tcBorders>
            <w:vAlign w:val="center"/>
          </w:tcPr>
          <w:p>
            <w:pPr>
              <w:pStyle w:val="26"/>
            </w:pPr>
            <w:r>
              <w:t>规范</w:t>
            </w:r>
          </w:p>
        </w:tc>
        <w:tc>
          <w:tcPr>
            <w:tcW w:w="2199" w:type="dxa"/>
            <w:tcBorders>
              <w:top w:val="nil"/>
              <w:left w:val="nil"/>
              <w:bottom w:val="single" w:color="auto" w:sz="4" w:space="0"/>
              <w:right w:val="single" w:color="auto" w:sz="4" w:space="0"/>
            </w:tcBorders>
            <w:vAlign w:val="center"/>
          </w:tcPr>
          <w:p>
            <w:pPr>
              <w:pStyle w:val="26"/>
              <w:jc w:val="left"/>
            </w:pPr>
            <w:r>
              <w:t>办法健全、规范（1分），因素选择全面、合理（1分）</w:t>
            </w:r>
          </w:p>
        </w:tc>
        <w:tc>
          <w:tcPr>
            <w:tcW w:w="6115" w:type="dxa"/>
            <w:tcBorders>
              <w:top w:val="nil"/>
              <w:left w:val="nil"/>
              <w:bottom w:val="single" w:color="auto" w:sz="4" w:space="0"/>
              <w:right w:val="single" w:color="auto" w:sz="4" w:space="0"/>
            </w:tcBorders>
            <w:vAlign w:val="center"/>
          </w:tcPr>
          <w:p>
            <w:pPr>
              <w:pStyle w:val="26"/>
              <w:jc w:val="left"/>
              <w:rPr>
                <w:rFonts w:hint="default" w:eastAsia="仿宋_GB2312"/>
                <w:color w:val="auto"/>
                <w:lang w:val="en-US" w:eastAsia="zh-CN"/>
              </w:rPr>
            </w:pPr>
            <w:r>
              <w:rPr>
                <w:rFonts w:hint="eastAsia"/>
                <w:color w:val="auto"/>
              </w:rPr>
              <w:t>《甘肃省人大常委会机关财务管理办法》内容健全、规范。</w:t>
            </w:r>
            <w:r>
              <w:rPr>
                <w:rFonts w:hint="eastAsia"/>
                <w:color w:val="auto"/>
                <w:lang w:val="en-US" w:eastAsia="zh-CN"/>
              </w:rPr>
              <w:t>办公费、水电费、电话费、邮资费、车辆运行维护费等，由行政保卫处集中管理。</w:t>
            </w:r>
            <w:r>
              <w:rPr>
                <w:rFonts w:hint="eastAsia"/>
                <w:color w:val="auto"/>
              </w:rPr>
              <w:t>办法健全、规范</w:t>
            </w:r>
            <w:r>
              <w:rPr>
                <w:color w:val="auto"/>
              </w:rPr>
              <w:t>，因素选择全面、合理，因此该项指标得满分。</w:t>
            </w:r>
          </w:p>
        </w:tc>
        <w:tc>
          <w:tcPr>
            <w:tcW w:w="972" w:type="dxa"/>
            <w:tcBorders>
              <w:top w:val="nil"/>
              <w:left w:val="nil"/>
              <w:bottom w:val="single" w:color="auto" w:sz="4" w:space="0"/>
              <w:right w:val="single" w:color="auto" w:sz="4" w:space="0"/>
            </w:tcBorders>
            <w:vAlign w:val="center"/>
          </w:tcPr>
          <w:p>
            <w:pPr>
              <w:pStyle w:val="26"/>
              <w:rPr>
                <w:color w:val="auto"/>
              </w:rPr>
            </w:pPr>
            <w:r>
              <w:rPr>
                <w:rFonts w:hint="eastAsia"/>
                <w:color w:val="auto"/>
              </w:rPr>
              <w:t>100</w:t>
            </w:r>
            <w:r>
              <w:rPr>
                <w:color w:val="auto"/>
              </w:rPr>
              <w:t>%</w:t>
            </w:r>
          </w:p>
        </w:tc>
        <w:tc>
          <w:tcPr>
            <w:tcW w:w="941" w:type="dxa"/>
            <w:tcBorders>
              <w:top w:val="nil"/>
              <w:left w:val="nil"/>
              <w:bottom w:val="single" w:color="auto" w:sz="4" w:space="0"/>
              <w:right w:val="single" w:color="auto" w:sz="4" w:space="0"/>
            </w:tcBorders>
            <w:vAlign w:val="center"/>
          </w:tcPr>
          <w:p>
            <w:pPr>
              <w:pStyle w:val="26"/>
              <w:rPr>
                <w:color w:val="auto"/>
                <w:highlight w:val="yellow"/>
              </w:rPr>
            </w:pPr>
            <w:r>
              <w:rPr>
                <w:rFonts w:hint="eastAsia"/>
                <w:color w:val="auto"/>
              </w:rPr>
              <w:t>2</w:t>
            </w:r>
          </w:p>
        </w:tc>
      </w:tr>
      <w:tr>
        <w:tblPrEx>
          <w:tblLayout w:type="fixed"/>
          <w:tblCellMar>
            <w:top w:w="0" w:type="dxa"/>
            <w:left w:w="108" w:type="dxa"/>
            <w:bottom w:w="0" w:type="dxa"/>
            <w:right w:w="108" w:type="dxa"/>
          </w:tblCellMar>
        </w:tblPrEx>
        <w:trPr>
          <w:cantSplit/>
          <w:trHeight w:val="450"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vMerge w:val="continue"/>
            <w:tcBorders>
              <w:top w:val="nil"/>
              <w:left w:val="single" w:color="auto" w:sz="4" w:space="0"/>
              <w:bottom w:val="single" w:color="auto" w:sz="4" w:space="0"/>
              <w:right w:val="single" w:color="auto" w:sz="4" w:space="0"/>
            </w:tcBorders>
            <w:vAlign w:val="center"/>
          </w:tcPr>
          <w:p>
            <w:pPr>
              <w:pStyle w:val="26"/>
              <w:rPr>
                <w:highlight w:val="yellow"/>
              </w:rPr>
            </w:pPr>
          </w:p>
        </w:tc>
        <w:tc>
          <w:tcPr>
            <w:tcW w:w="1200" w:type="dxa"/>
            <w:tcBorders>
              <w:top w:val="nil"/>
              <w:left w:val="nil"/>
              <w:bottom w:val="single" w:color="auto" w:sz="4" w:space="0"/>
              <w:right w:val="single" w:color="auto" w:sz="4" w:space="0"/>
            </w:tcBorders>
            <w:vAlign w:val="center"/>
          </w:tcPr>
          <w:p>
            <w:pPr>
              <w:pStyle w:val="26"/>
            </w:pPr>
            <w:r>
              <w:t>分配结果</w:t>
            </w:r>
          </w:p>
        </w:tc>
        <w:tc>
          <w:tcPr>
            <w:tcW w:w="728" w:type="dxa"/>
            <w:tcBorders>
              <w:top w:val="nil"/>
              <w:left w:val="nil"/>
              <w:bottom w:val="single" w:color="auto" w:sz="4" w:space="0"/>
              <w:right w:val="single" w:color="auto" w:sz="4" w:space="0"/>
            </w:tcBorders>
            <w:vAlign w:val="center"/>
          </w:tcPr>
          <w:p>
            <w:pPr>
              <w:pStyle w:val="26"/>
            </w:pPr>
            <w:r>
              <w:t>6</w:t>
            </w:r>
          </w:p>
        </w:tc>
        <w:tc>
          <w:tcPr>
            <w:tcW w:w="1001" w:type="dxa"/>
            <w:tcBorders>
              <w:top w:val="single" w:color="auto" w:sz="4" w:space="0"/>
              <w:left w:val="nil"/>
              <w:bottom w:val="single" w:color="auto" w:sz="4" w:space="0"/>
              <w:right w:val="single" w:color="auto" w:sz="4" w:space="0"/>
            </w:tcBorders>
            <w:vAlign w:val="center"/>
          </w:tcPr>
          <w:p>
            <w:pPr>
              <w:pStyle w:val="26"/>
            </w:pPr>
            <w:r>
              <w:t>合理</w:t>
            </w:r>
          </w:p>
        </w:tc>
        <w:tc>
          <w:tcPr>
            <w:tcW w:w="2199" w:type="dxa"/>
            <w:tcBorders>
              <w:top w:val="nil"/>
              <w:left w:val="nil"/>
              <w:bottom w:val="single" w:color="auto" w:sz="4" w:space="0"/>
              <w:right w:val="single" w:color="auto" w:sz="4" w:space="0"/>
            </w:tcBorders>
            <w:vAlign w:val="center"/>
          </w:tcPr>
          <w:p>
            <w:pPr>
              <w:pStyle w:val="26"/>
              <w:jc w:val="left"/>
              <w:rPr>
                <w:color w:val="auto"/>
              </w:rPr>
            </w:pPr>
            <w:r>
              <w:rPr>
                <w:color w:val="auto"/>
              </w:rPr>
              <w:t>项目符合相关分配办法（2分），资金分配合理（4分）</w:t>
            </w:r>
          </w:p>
        </w:tc>
        <w:tc>
          <w:tcPr>
            <w:tcW w:w="6115" w:type="dxa"/>
            <w:tcBorders>
              <w:top w:val="nil"/>
              <w:left w:val="nil"/>
              <w:bottom w:val="single" w:color="auto" w:sz="4" w:space="0"/>
              <w:right w:val="single" w:color="auto" w:sz="4" w:space="0"/>
            </w:tcBorders>
            <w:vAlign w:val="center"/>
          </w:tcPr>
          <w:p>
            <w:pPr>
              <w:pStyle w:val="26"/>
              <w:jc w:val="left"/>
              <w:rPr>
                <w:color w:val="auto"/>
              </w:rPr>
            </w:pPr>
            <w:r>
              <w:rPr>
                <w:rFonts w:hint="eastAsia"/>
                <w:color w:val="auto"/>
              </w:rPr>
              <w:t>该项目合理分配使用资金</w:t>
            </w:r>
            <w:r>
              <w:rPr>
                <w:color w:val="auto"/>
              </w:rPr>
              <w:t>，结合评分标准，该项指标得满分。</w:t>
            </w:r>
          </w:p>
        </w:tc>
        <w:tc>
          <w:tcPr>
            <w:tcW w:w="972" w:type="dxa"/>
            <w:tcBorders>
              <w:top w:val="nil"/>
              <w:left w:val="nil"/>
              <w:bottom w:val="single" w:color="auto" w:sz="4" w:space="0"/>
              <w:right w:val="single" w:color="auto" w:sz="4" w:space="0"/>
            </w:tcBorders>
            <w:vAlign w:val="center"/>
          </w:tcPr>
          <w:p>
            <w:pPr>
              <w:pStyle w:val="26"/>
              <w:rPr>
                <w:color w:val="auto"/>
              </w:rPr>
            </w:pPr>
            <w:r>
              <w:rPr>
                <w:color w:val="auto"/>
              </w:rPr>
              <w:t>100%</w:t>
            </w:r>
          </w:p>
        </w:tc>
        <w:tc>
          <w:tcPr>
            <w:tcW w:w="941" w:type="dxa"/>
            <w:tcBorders>
              <w:top w:val="nil"/>
              <w:left w:val="nil"/>
              <w:bottom w:val="single" w:color="auto" w:sz="4" w:space="0"/>
              <w:right w:val="single" w:color="auto" w:sz="4" w:space="0"/>
            </w:tcBorders>
            <w:vAlign w:val="center"/>
          </w:tcPr>
          <w:p>
            <w:pPr>
              <w:pStyle w:val="26"/>
              <w:rPr>
                <w:color w:val="auto"/>
              </w:rPr>
            </w:pPr>
            <w:r>
              <w:rPr>
                <w:color w:val="auto"/>
              </w:rPr>
              <w:t>6</w:t>
            </w:r>
          </w:p>
        </w:tc>
      </w:tr>
      <w:tr>
        <w:tblPrEx>
          <w:tblLayout w:type="fixed"/>
          <w:tblCellMar>
            <w:top w:w="0" w:type="dxa"/>
            <w:left w:w="108" w:type="dxa"/>
            <w:bottom w:w="0" w:type="dxa"/>
            <w:right w:w="108" w:type="dxa"/>
          </w:tblCellMar>
        </w:tblPrEx>
        <w:trPr>
          <w:cantSplit/>
          <w:trHeight w:val="450" w:hRule="atLeast"/>
          <w:jc w:val="center"/>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pStyle w:val="26"/>
            </w:pPr>
            <w:r>
              <w:t>项目管理（25）</w:t>
            </w:r>
          </w:p>
        </w:tc>
        <w:tc>
          <w:tcPr>
            <w:tcW w:w="1443" w:type="dxa"/>
            <w:vMerge w:val="restart"/>
            <w:tcBorders>
              <w:top w:val="single" w:color="auto" w:sz="4" w:space="0"/>
              <w:left w:val="single" w:color="auto" w:sz="4" w:space="0"/>
              <w:bottom w:val="single" w:color="auto" w:sz="4" w:space="0"/>
              <w:right w:val="single" w:color="auto" w:sz="4" w:space="0"/>
            </w:tcBorders>
            <w:vAlign w:val="center"/>
          </w:tcPr>
          <w:p>
            <w:pPr>
              <w:pStyle w:val="26"/>
            </w:pPr>
            <w:r>
              <w:t>资金到位（5）</w:t>
            </w:r>
          </w:p>
        </w:tc>
        <w:tc>
          <w:tcPr>
            <w:tcW w:w="1200" w:type="dxa"/>
            <w:tcBorders>
              <w:top w:val="single" w:color="auto" w:sz="4" w:space="0"/>
              <w:left w:val="single" w:color="auto" w:sz="4" w:space="0"/>
              <w:bottom w:val="single" w:color="auto" w:sz="4" w:space="0"/>
              <w:right w:val="single" w:color="auto" w:sz="4" w:space="0"/>
            </w:tcBorders>
            <w:vAlign w:val="center"/>
          </w:tcPr>
          <w:p>
            <w:pPr>
              <w:pStyle w:val="26"/>
            </w:pPr>
            <w:r>
              <w:t>到位率</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pPr>
            <w:r>
              <w:t>3</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pPr>
            <w:r>
              <w:t>100%</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根据项目实际到位资金占计划的比重计算得分（3分）</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根据各项目实施单位的资金到位通知</w:t>
            </w:r>
            <w:r>
              <w:rPr>
                <w:rFonts w:hint="eastAsia"/>
                <w:color w:val="auto"/>
              </w:rPr>
              <w:t>，甘肃省财政拨付资金一次性在</w:t>
            </w:r>
            <w:r>
              <w:rPr>
                <w:rFonts w:hint="eastAsia"/>
                <w:color w:val="auto"/>
                <w:lang w:eastAsia="zh-CN"/>
              </w:rPr>
              <w:t>2021</w:t>
            </w:r>
            <w:r>
              <w:rPr>
                <w:rFonts w:hint="eastAsia"/>
                <w:color w:val="auto"/>
              </w:rPr>
              <w:t>年3月前到位，资金100%到位，保证了</w:t>
            </w:r>
            <w:r>
              <w:rPr>
                <w:rFonts w:hint="eastAsia"/>
                <w:color w:val="auto"/>
                <w:lang w:eastAsia="zh-CN"/>
              </w:rPr>
              <w:t>甘肃省人民代表大会常务委员会办公厅业务费项目</w:t>
            </w:r>
            <w:r>
              <w:rPr>
                <w:rFonts w:hint="eastAsia"/>
                <w:color w:val="auto"/>
              </w:rPr>
              <w:t>工作的正常开展，根据评分规则，该项指标得满分。</w:t>
            </w:r>
          </w:p>
        </w:tc>
        <w:tc>
          <w:tcPr>
            <w:tcW w:w="972" w:type="dxa"/>
            <w:tcBorders>
              <w:top w:val="nil"/>
              <w:left w:val="nil"/>
              <w:bottom w:val="single" w:color="auto" w:sz="4" w:space="0"/>
              <w:right w:val="single" w:color="auto" w:sz="4" w:space="0"/>
            </w:tcBorders>
            <w:vAlign w:val="center"/>
          </w:tcPr>
          <w:p>
            <w:pPr>
              <w:pStyle w:val="26"/>
              <w:rPr>
                <w:color w:val="auto"/>
              </w:rPr>
            </w:pPr>
            <w:r>
              <w:rPr>
                <w:color w:val="auto"/>
              </w:rPr>
              <w:t>100%</w:t>
            </w:r>
          </w:p>
        </w:tc>
        <w:tc>
          <w:tcPr>
            <w:tcW w:w="941" w:type="dxa"/>
            <w:tcBorders>
              <w:top w:val="nil"/>
              <w:left w:val="nil"/>
              <w:bottom w:val="single" w:color="auto" w:sz="4" w:space="0"/>
              <w:right w:val="single" w:color="auto" w:sz="4" w:space="0"/>
            </w:tcBorders>
            <w:vAlign w:val="center"/>
          </w:tcPr>
          <w:p>
            <w:pPr>
              <w:pStyle w:val="26"/>
              <w:rPr>
                <w:color w:val="auto"/>
              </w:rPr>
            </w:pPr>
            <w:r>
              <w:rPr>
                <w:color w:val="auto"/>
              </w:rPr>
              <w:t>3</w:t>
            </w:r>
          </w:p>
        </w:tc>
      </w:tr>
      <w:tr>
        <w:tblPrEx>
          <w:tblLayout w:type="fixed"/>
          <w:tblCellMar>
            <w:top w:w="0" w:type="dxa"/>
            <w:left w:w="108" w:type="dxa"/>
            <w:bottom w:w="0" w:type="dxa"/>
            <w:right w:w="108" w:type="dxa"/>
          </w:tblCellMar>
        </w:tblPrEx>
        <w:trPr>
          <w:cantSplit/>
          <w:trHeight w:val="675"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pStyle w:val="26"/>
            </w:pPr>
          </w:p>
        </w:tc>
        <w:tc>
          <w:tcPr>
            <w:tcW w:w="1200" w:type="dxa"/>
            <w:tcBorders>
              <w:top w:val="single" w:color="auto" w:sz="4" w:space="0"/>
              <w:left w:val="single" w:color="auto" w:sz="4" w:space="0"/>
              <w:bottom w:val="single" w:color="auto" w:sz="4" w:space="0"/>
              <w:right w:val="single" w:color="auto" w:sz="4" w:space="0"/>
            </w:tcBorders>
            <w:vAlign w:val="center"/>
          </w:tcPr>
          <w:p>
            <w:pPr>
              <w:pStyle w:val="26"/>
            </w:pPr>
            <w:r>
              <w:t>到位时效</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pPr>
            <w:r>
              <w:t>2</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pPr>
            <w:r>
              <w:t>100%</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及时到位（2分），未及时到位但未影响项目进度（1.5分），未及时到位并影响项目进度（0-1分）。</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根据各项目实施单位的资金到位通知</w:t>
            </w:r>
            <w:r>
              <w:rPr>
                <w:rFonts w:hint="eastAsia"/>
                <w:color w:val="auto"/>
              </w:rPr>
              <w:t>，甘肃省财政拨付资金一次性在</w:t>
            </w:r>
            <w:r>
              <w:rPr>
                <w:rFonts w:hint="eastAsia"/>
                <w:color w:val="auto"/>
                <w:lang w:eastAsia="zh-CN"/>
              </w:rPr>
              <w:t>2021</w:t>
            </w:r>
            <w:r>
              <w:rPr>
                <w:rFonts w:hint="eastAsia"/>
                <w:color w:val="auto"/>
              </w:rPr>
              <w:t>年3月前到位，资金100%到位，保证了</w:t>
            </w:r>
            <w:r>
              <w:rPr>
                <w:rFonts w:hint="eastAsia"/>
                <w:color w:val="auto"/>
                <w:lang w:eastAsia="zh-CN"/>
              </w:rPr>
              <w:t>甘肃省人民代表大会常务委员会办公厅业务费项目</w:t>
            </w:r>
            <w:r>
              <w:rPr>
                <w:rFonts w:hint="eastAsia"/>
                <w:color w:val="auto"/>
              </w:rPr>
              <w:t>工作的正常开展，根据评分规则，该项指标得满分。</w:t>
            </w:r>
          </w:p>
        </w:tc>
        <w:tc>
          <w:tcPr>
            <w:tcW w:w="972" w:type="dxa"/>
            <w:tcBorders>
              <w:top w:val="nil"/>
              <w:left w:val="nil"/>
              <w:bottom w:val="single" w:color="auto" w:sz="4" w:space="0"/>
              <w:right w:val="single" w:color="auto" w:sz="4" w:space="0"/>
            </w:tcBorders>
            <w:vAlign w:val="center"/>
          </w:tcPr>
          <w:p>
            <w:pPr>
              <w:pStyle w:val="26"/>
              <w:rPr>
                <w:color w:val="auto"/>
              </w:rPr>
            </w:pPr>
            <w:r>
              <w:rPr>
                <w:rFonts w:hint="eastAsia"/>
                <w:color w:val="auto"/>
              </w:rPr>
              <w:t>100</w:t>
            </w:r>
            <w:r>
              <w:rPr>
                <w:color w:val="auto"/>
              </w:rPr>
              <w:t>%</w:t>
            </w:r>
          </w:p>
        </w:tc>
        <w:tc>
          <w:tcPr>
            <w:tcW w:w="941" w:type="dxa"/>
            <w:tcBorders>
              <w:top w:val="nil"/>
              <w:left w:val="nil"/>
              <w:bottom w:val="single" w:color="auto" w:sz="4" w:space="0"/>
              <w:right w:val="single" w:color="auto" w:sz="4" w:space="0"/>
            </w:tcBorders>
            <w:vAlign w:val="center"/>
          </w:tcPr>
          <w:p>
            <w:pPr>
              <w:pStyle w:val="26"/>
              <w:rPr>
                <w:color w:val="auto"/>
              </w:rPr>
            </w:pPr>
            <w:r>
              <w:rPr>
                <w:rFonts w:hint="eastAsia"/>
                <w:color w:val="auto"/>
              </w:rPr>
              <w:t>2</w:t>
            </w:r>
          </w:p>
        </w:tc>
      </w:tr>
      <w:tr>
        <w:tblPrEx>
          <w:tblLayout w:type="fixed"/>
          <w:tblCellMar>
            <w:top w:w="0" w:type="dxa"/>
            <w:left w:w="108" w:type="dxa"/>
            <w:bottom w:w="0" w:type="dxa"/>
            <w:right w:w="108" w:type="dxa"/>
          </w:tblCellMar>
        </w:tblPrEx>
        <w:trPr>
          <w:cantSplit/>
          <w:trHeight w:val="675"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vMerge w:val="restart"/>
            <w:tcBorders>
              <w:top w:val="single" w:color="auto" w:sz="4" w:space="0"/>
              <w:left w:val="single" w:color="auto" w:sz="4" w:space="0"/>
              <w:bottom w:val="single" w:color="auto" w:sz="4" w:space="0"/>
              <w:right w:val="single" w:color="auto" w:sz="4" w:space="0"/>
            </w:tcBorders>
            <w:vAlign w:val="center"/>
          </w:tcPr>
          <w:p>
            <w:pPr>
              <w:pStyle w:val="26"/>
              <w:rPr>
                <w:highlight w:val="yellow"/>
              </w:rPr>
            </w:pPr>
            <w:r>
              <w:t>资金管理（10）</w:t>
            </w:r>
          </w:p>
        </w:tc>
        <w:tc>
          <w:tcPr>
            <w:tcW w:w="1200" w:type="dxa"/>
            <w:tcBorders>
              <w:top w:val="single" w:color="auto" w:sz="4" w:space="0"/>
              <w:left w:val="single" w:color="auto" w:sz="4" w:space="0"/>
              <w:bottom w:val="single" w:color="auto" w:sz="4" w:space="0"/>
              <w:right w:val="single" w:color="auto" w:sz="4" w:space="0"/>
            </w:tcBorders>
            <w:vAlign w:val="center"/>
          </w:tcPr>
          <w:p>
            <w:pPr>
              <w:pStyle w:val="26"/>
            </w:pPr>
            <w:r>
              <w:t>资金使用</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pPr>
            <w:r>
              <w:t>3</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pPr>
            <w:r>
              <w:t>规范</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虚列（套取）扣4-7分，支出依据不合规扣1分，截留、挤占、挪用扣3-6分，超标准开支扣2-5分</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项目实施单位按照项目实施计划使用资金，不存在专项资金的虚列、截留、挪用等问题，因此该项指标得满分。</w:t>
            </w:r>
          </w:p>
        </w:tc>
        <w:tc>
          <w:tcPr>
            <w:tcW w:w="972" w:type="dxa"/>
            <w:tcBorders>
              <w:top w:val="nil"/>
              <w:left w:val="nil"/>
              <w:bottom w:val="single" w:color="auto" w:sz="4" w:space="0"/>
              <w:right w:val="single" w:color="auto" w:sz="4" w:space="0"/>
            </w:tcBorders>
            <w:vAlign w:val="center"/>
          </w:tcPr>
          <w:p>
            <w:pPr>
              <w:pStyle w:val="26"/>
              <w:rPr>
                <w:color w:val="auto"/>
              </w:rPr>
            </w:pPr>
            <w:r>
              <w:rPr>
                <w:color w:val="auto"/>
              </w:rPr>
              <w:t>100%</w:t>
            </w:r>
          </w:p>
        </w:tc>
        <w:tc>
          <w:tcPr>
            <w:tcW w:w="941" w:type="dxa"/>
            <w:tcBorders>
              <w:top w:val="nil"/>
              <w:left w:val="nil"/>
              <w:bottom w:val="single" w:color="auto" w:sz="4" w:space="0"/>
              <w:right w:val="single" w:color="auto" w:sz="4" w:space="0"/>
            </w:tcBorders>
            <w:vAlign w:val="center"/>
          </w:tcPr>
          <w:p>
            <w:pPr>
              <w:pStyle w:val="26"/>
              <w:rPr>
                <w:color w:val="auto"/>
              </w:rPr>
            </w:pPr>
            <w:r>
              <w:rPr>
                <w:color w:val="auto"/>
              </w:rPr>
              <w:t>3</w:t>
            </w:r>
          </w:p>
        </w:tc>
      </w:tr>
      <w:tr>
        <w:tblPrEx>
          <w:tblLayout w:type="fixed"/>
          <w:tblCellMar>
            <w:top w:w="0" w:type="dxa"/>
            <w:left w:w="108" w:type="dxa"/>
            <w:bottom w:w="0" w:type="dxa"/>
            <w:right w:w="108" w:type="dxa"/>
          </w:tblCellMar>
        </w:tblPrEx>
        <w:trPr>
          <w:cantSplit/>
          <w:trHeight w:val="450"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26"/>
            </w:pPr>
            <w:r>
              <w:t>预算执行</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pPr>
            <w:r>
              <w:t>4</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pPr>
            <w:r>
              <w:t>100%</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实际支出/实际到位*100%，每降低1%，扣5%的权重分（4分）</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该项目实际到位资金</w:t>
            </w:r>
            <w:r>
              <w:rPr>
                <w:rFonts w:hint="eastAsia"/>
                <w:color w:val="auto"/>
                <w:lang w:val="en-US" w:eastAsia="zh-CN"/>
              </w:rPr>
              <w:t>680</w:t>
            </w:r>
            <w:r>
              <w:rPr>
                <w:color w:val="auto"/>
              </w:rPr>
              <w:t>万元，实际支出资金为</w:t>
            </w:r>
            <w:r>
              <w:rPr>
                <w:rFonts w:hint="eastAsia"/>
                <w:color w:val="auto"/>
                <w:lang w:val="en-US" w:eastAsia="zh-CN"/>
              </w:rPr>
              <w:t>680</w:t>
            </w:r>
            <w:r>
              <w:rPr>
                <w:rFonts w:hint="eastAsia"/>
                <w:color w:val="auto"/>
              </w:rPr>
              <w:t>万</w:t>
            </w:r>
            <w:r>
              <w:rPr>
                <w:color w:val="auto"/>
              </w:rPr>
              <w:t>元</w:t>
            </w:r>
            <w:r>
              <w:rPr>
                <w:rFonts w:hint="eastAsia"/>
                <w:color w:val="auto"/>
              </w:rPr>
              <w:t>，</w:t>
            </w:r>
            <w:r>
              <w:rPr>
                <w:color w:val="auto"/>
              </w:rPr>
              <w:t>预算执行率为</w:t>
            </w:r>
            <w:r>
              <w:rPr>
                <w:rFonts w:hint="eastAsia"/>
                <w:color w:val="auto"/>
              </w:rPr>
              <w:t>100%。根据打分标准，</w:t>
            </w:r>
            <w:r>
              <w:rPr>
                <w:color w:val="auto"/>
              </w:rPr>
              <w:t>该指标得</w:t>
            </w:r>
            <w:r>
              <w:rPr>
                <w:rFonts w:hint="eastAsia"/>
                <w:color w:val="auto"/>
              </w:rPr>
              <w:t>4</w:t>
            </w:r>
            <w:r>
              <w:rPr>
                <w:color w:val="auto"/>
              </w:rPr>
              <w:t>分。</w:t>
            </w:r>
          </w:p>
        </w:tc>
        <w:tc>
          <w:tcPr>
            <w:tcW w:w="972" w:type="dxa"/>
            <w:tcBorders>
              <w:top w:val="nil"/>
              <w:left w:val="nil"/>
              <w:bottom w:val="single" w:color="auto" w:sz="4" w:space="0"/>
              <w:right w:val="single" w:color="auto" w:sz="4" w:space="0"/>
            </w:tcBorders>
            <w:vAlign w:val="center"/>
          </w:tcPr>
          <w:p>
            <w:pPr>
              <w:pStyle w:val="26"/>
              <w:rPr>
                <w:color w:val="auto"/>
              </w:rPr>
            </w:pPr>
            <w:r>
              <w:rPr>
                <w:rFonts w:hint="eastAsia"/>
                <w:color w:val="auto"/>
              </w:rPr>
              <w:t>100</w:t>
            </w:r>
            <w:r>
              <w:rPr>
                <w:color w:val="auto"/>
              </w:rPr>
              <w:t>%</w:t>
            </w:r>
          </w:p>
        </w:tc>
        <w:tc>
          <w:tcPr>
            <w:tcW w:w="941" w:type="dxa"/>
            <w:tcBorders>
              <w:top w:val="nil"/>
              <w:left w:val="nil"/>
              <w:bottom w:val="single" w:color="auto" w:sz="4" w:space="0"/>
              <w:right w:val="single" w:color="auto" w:sz="4" w:space="0"/>
            </w:tcBorders>
            <w:vAlign w:val="center"/>
          </w:tcPr>
          <w:p>
            <w:pPr>
              <w:pStyle w:val="26"/>
              <w:rPr>
                <w:color w:val="auto"/>
              </w:rPr>
            </w:pPr>
            <w:r>
              <w:rPr>
                <w:rFonts w:hint="eastAsia"/>
                <w:color w:val="auto"/>
              </w:rPr>
              <w:t>4</w:t>
            </w:r>
          </w:p>
        </w:tc>
      </w:tr>
      <w:tr>
        <w:tblPrEx>
          <w:tblLayout w:type="fixed"/>
          <w:tblCellMar>
            <w:top w:w="0" w:type="dxa"/>
            <w:left w:w="108" w:type="dxa"/>
            <w:bottom w:w="0" w:type="dxa"/>
            <w:right w:w="108" w:type="dxa"/>
          </w:tblCellMar>
        </w:tblPrEx>
        <w:trPr>
          <w:cantSplit/>
          <w:trHeight w:val="1801"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pStyle w:val="26"/>
            </w:pPr>
          </w:p>
        </w:tc>
        <w:tc>
          <w:tcPr>
            <w:tcW w:w="1200" w:type="dxa"/>
            <w:tcBorders>
              <w:top w:val="single" w:color="auto" w:sz="4" w:space="0"/>
              <w:left w:val="single" w:color="auto" w:sz="4" w:space="0"/>
              <w:bottom w:val="single" w:color="auto" w:sz="4" w:space="0"/>
              <w:right w:val="single" w:color="auto" w:sz="4" w:space="0"/>
            </w:tcBorders>
            <w:vAlign w:val="center"/>
          </w:tcPr>
          <w:p>
            <w:pPr>
              <w:pStyle w:val="26"/>
            </w:pPr>
            <w:r>
              <w:t>财务管理</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pPr>
            <w:r>
              <w:t>3</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pPr>
            <w:r>
              <w:t>规范</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财务制度健全（1分），严格执行制度（1分），会计核算规范（1分）。</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rFonts w:hint="eastAsia" w:ascii="宋体" w:hAnsi="宋体" w:eastAsia="宋体" w:cs="宋体"/>
                <w:color w:val="auto"/>
              </w:rPr>
              <w:t>①</w:t>
            </w:r>
            <w:r>
              <w:rPr>
                <w:color w:val="auto"/>
              </w:rPr>
              <w:t>本项目</w:t>
            </w:r>
            <w:r>
              <w:rPr>
                <w:rFonts w:hint="eastAsia"/>
                <w:color w:val="auto"/>
              </w:rPr>
              <w:t>按照</w:t>
            </w:r>
            <w:r>
              <w:rPr>
                <w:rFonts w:hint="eastAsia"/>
                <w:color w:val="auto"/>
                <w:lang w:val="en-US" w:eastAsia="zh-CN"/>
              </w:rPr>
              <w:t>甘肃省人民代表大会常务委员会办公厅</w:t>
            </w:r>
            <w:r>
              <w:rPr>
                <w:rFonts w:hint="eastAsia"/>
                <w:color w:val="auto"/>
              </w:rPr>
              <w:t>严格</w:t>
            </w:r>
            <w:r>
              <w:rPr>
                <w:color w:val="auto"/>
              </w:rPr>
              <w:t>按照专款专用</w:t>
            </w:r>
            <w:r>
              <w:rPr>
                <w:rFonts w:hint="eastAsia"/>
                <w:color w:val="auto"/>
              </w:rPr>
              <w:t>的原则使用资金，</w:t>
            </w:r>
            <w:r>
              <w:rPr>
                <w:color w:val="auto"/>
              </w:rPr>
              <w:t>因此该项指标得满分。</w:t>
            </w:r>
          </w:p>
        </w:tc>
        <w:tc>
          <w:tcPr>
            <w:tcW w:w="972" w:type="dxa"/>
            <w:tcBorders>
              <w:top w:val="nil"/>
              <w:left w:val="nil"/>
              <w:bottom w:val="single" w:color="auto" w:sz="4" w:space="0"/>
              <w:right w:val="single" w:color="auto" w:sz="4" w:space="0"/>
            </w:tcBorders>
            <w:vAlign w:val="center"/>
          </w:tcPr>
          <w:p>
            <w:pPr>
              <w:pStyle w:val="26"/>
              <w:rPr>
                <w:color w:val="auto"/>
              </w:rPr>
            </w:pPr>
            <w:r>
              <w:rPr>
                <w:rFonts w:hint="eastAsia"/>
                <w:color w:val="auto"/>
              </w:rPr>
              <w:t>100</w:t>
            </w:r>
            <w:r>
              <w:rPr>
                <w:color w:val="auto"/>
              </w:rPr>
              <w:t>%</w:t>
            </w:r>
          </w:p>
        </w:tc>
        <w:tc>
          <w:tcPr>
            <w:tcW w:w="941" w:type="dxa"/>
            <w:tcBorders>
              <w:top w:val="nil"/>
              <w:left w:val="nil"/>
              <w:bottom w:val="single" w:color="auto" w:sz="4" w:space="0"/>
              <w:right w:val="single" w:color="auto" w:sz="4" w:space="0"/>
            </w:tcBorders>
            <w:vAlign w:val="center"/>
          </w:tcPr>
          <w:p>
            <w:pPr>
              <w:pStyle w:val="26"/>
              <w:rPr>
                <w:color w:val="auto"/>
              </w:rPr>
            </w:pPr>
            <w:r>
              <w:rPr>
                <w:rFonts w:hint="eastAsia"/>
                <w:color w:val="auto"/>
              </w:rPr>
              <w:t>3</w:t>
            </w:r>
          </w:p>
        </w:tc>
      </w:tr>
      <w:tr>
        <w:tblPrEx>
          <w:tblLayout w:type="fixed"/>
          <w:tblCellMar>
            <w:top w:w="0" w:type="dxa"/>
            <w:left w:w="108" w:type="dxa"/>
            <w:bottom w:w="0" w:type="dxa"/>
            <w:right w:w="108" w:type="dxa"/>
          </w:tblCellMar>
        </w:tblPrEx>
        <w:trPr>
          <w:cantSplit/>
          <w:trHeight w:val="270" w:hRule="atLeast"/>
          <w:jc w:val="center"/>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pStyle w:val="26"/>
              <w:rPr>
                <w:highlight w:val="yellow"/>
              </w:rPr>
            </w:pPr>
            <w:r>
              <w:t>项目管理（25）</w:t>
            </w:r>
          </w:p>
        </w:tc>
        <w:tc>
          <w:tcPr>
            <w:tcW w:w="1443" w:type="dxa"/>
            <w:tcBorders>
              <w:top w:val="single" w:color="auto" w:sz="4" w:space="0"/>
              <w:left w:val="single" w:color="auto" w:sz="4" w:space="0"/>
              <w:bottom w:val="single" w:color="auto" w:sz="4" w:space="0"/>
              <w:right w:val="single" w:color="auto" w:sz="4" w:space="0"/>
            </w:tcBorders>
            <w:vAlign w:val="center"/>
          </w:tcPr>
          <w:p>
            <w:pPr>
              <w:pStyle w:val="26"/>
            </w:pPr>
            <w:r>
              <w:t>组织实施（10）</w:t>
            </w:r>
          </w:p>
        </w:tc>
        <w:tc>
          <w:tcPr>
            <w:tcW w:w="1200" w:type="dxa"/>
            <w:tcBorders>
              <w:top w:val="single" w:color="auto" w:sz="4" w:space="0"/>
              <w:left w:val="single" w:color="auto" w:sz="4" w:space="0"/>
              <w:bottom w:val="single" w:color="auto" w:sz="4" w:space="0"/>
              <w:right w:val="single" w:color="auto" w:sz="4" w:space="0"/>
            </w:tcBorders>
            <w:vAlign w:val="center"/>
          </w:tcPr>
          <w:p>
            <w:pPr>
              <w:pStyle w:val="26"/>
            </w:pPr>
            <w:r>
              <w:t>组织机构</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pPr>
            <w:r>
              <w:t>1</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pPr>
            <w:r>
              <w:t>健全</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机构健全、分工明确（1分）</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项目实施过程中，</w:t>
            </w:r>
            <w:r>
              <w:rPr>
                <w:rFonts w:hint="eastAsia"/>
                <w:color w:val="auto"/>
              </w:rPr>
              <w:t>甘肃省财政厅：负责专项资金的管理、拨付、评估等。</w:t>
            </w:r>
            <w:r>
              <w:rPr>
                <w:rFonts w:hint="eastAsia"/>
                <w:color w:val="auto"/>
                <w:lang w:eastAsia="zh-CN"/>
              </w:rPr>
              <w:t>甘肃省人民代表大会常务委员会办公厅</w:t>
            </w:r>
            <w:r>
              <w:rPr>
                <w:rFonts w:hint="eastAsia"/>
                <w:color w:val="auto"/>
              </w:rPr>
              <w:t>：负责项目申报，专项资金分配、资金拨付、项目管理及绩效评价等。</w:t>
            </w:r>
            <w:r>
              <w:rPr>
                <w:color w:val="auto"/>
              </w:rPr>
              <w:t>因此该项指标得满分。</w:t>
            </w:r>
          </w:p>
        </w:tc>
        <w:tc>
          <w:tcPr>
            <w:tcW w:w="972" w:type="dxa"/>
            <w:tcBorders>
              <w:top w:val="nil"/>
              <w:left w:val="nil"/>
              <w:bottom w:val="single" w:color="auto" w:sz="4" w:space="0"/>
              <w:right w:val="single" w:color="auto" w:sz="4" w:space="0"/>
            </w:tcBorders>
            <w:vAlign w:val="center"/>
          </w:tcPr>
          <w:p>
            <w:pPr>
              <w:pStyle w:val="26"/>
              <w:rPr>
                <w:color w:val="auto"/>
              </w:rPr>
            </w:pPr>
            <w:r>
              <w:rPr>
                <w:color w:val="auto"/>
              </w:rPr>
              <w:t>100%</w:t>
            </w:r>
          </w:p>
        </w:tc>
        <w:tc>
          <w:tcPr>
            <w:tcW w:w="941" w:type="dxa"/>
            <w:tcBorders>
              <w:top w:val="nil"/>
              <w:left w:val="nil"/>
              <w:bottom w:val="single" w:color="auto" w:sz="4" w:space="0"/>
              <w:right w:val="single" w:color="auto" w:sz="4" w:space="0"/>
            </w:tcBorders>
            <w:vAlign w:val="center"/>
          </w:tcPr>
          <w:p>
            <w:pPr>
              <w:pStyle w:val="26"/>
              <w:rPr>
                <w:color w:val="auto"/>
              </w:rPr>
            </w:pPr>
            <w:r>
              <w:rPr>
                <w:color w:val="auto"/>
              </w:rPr>
              <w:t>1</w:t>
            </w:r>
          </w:p>
        </w:tc>
      </w:tr>
      <w:tr>
        <w:tblPrEx>
          <w:tblLayout w:type="fixed"/>
          <w:tblCellMar>
            <w:top w:w="0" w:type="dxa"/>
            <w:left w:w="108" w:type="dxa"/>
            <w:bottom w:w="0" w:type="dxa"/>
            <w:right w:w="108" w:type="dxa"/>
          </w:tblCellMar>
        </w:tblPrEx>
        <w:trPr>
          <w:cantSplit/>
          <w:trHeight w:val="450"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tcBorders>
              <w:top w:val="single" w:color="auto" w:sz="4" w:space="0"/>
              <w:left w:val="single" w:color="auto" w:sz="4" w:space="0"/>
              <w:bottom w:val="single" w:color="auto" w:sz="4" w:space="0"/>
              <w:right w:val="single" w:color="auto" w:sz="4" w:space="0"/>
            </w:tcBorders>
            <w:vAlign w:val="center"/>
          </w:tcPr>
          <w:p>
            <w:pPr>
              <w:pStyle w:val="26"/>
              <w:rPr>
                <w:highlight w:val="yellow"/>
              </w:rPr>
            </w:pPr>
            <w:r>
              <w:t>组织实施（10）</w:t>
            </w:r>
          </w:p>
        </w:tc>
        <w:tc>
          <w:tcPr>
            <w:tcW w:w="1200" w:type="dxa"/>
            <w:tcBorders>
              <w:top w:val="single" w:color="auto" w:sz="4" w:space="0"/>
              <w:left w:val="single" w:color="auto" w:sz="4" w:space="0"/>
              <w:bottom w:val="single" w:color="auto" w:sz="4" w:space="0"/>
              <w:right w:val="single" w:color="auto" w:sz="4" w:space="0"/>
            </w:tcBorders>
            <w:vAlign w:val="center"/>
          </w:tcPr>
          <w:p>
            <w:pPr>
              <w:pStyle w:val="26"/>
            </w:pPr>
            <w:r>
              <w:t>管理制度</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pPr>
            <w:r>
              <w:t>9</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pPr>
            <w:r>
              <w:t>健全</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建立健全项目管理制度（2分）；严格执行相关项目管理制度（7分）</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rFonts w:hint="eastAsia" w:ascii="宋体" w:hAnsi="宋体" w:eastAsia="宋体" w:cs="宋体"/>
                <w:color w:val="auto"/>
              </w:rPr>
              <w:t>①</w:t>
            </w:r>
            <w:r>
              <w:rPr>
                <w:color w:val="auto"/>
              </w:rPr>
              <w:t>该项目建立有健全的项目管理制度</w:t>
            </w:r>
            <w:r>
              <w:rPr>
                <w:rFonts w:hint="eastAsia"/>
                <w:color w:val="auto"/>
              </w:rPr>
              <w:t>。该项目实施中，严格按照上述制度实施，</w:t>
            </w:r>
            <w:r>
              <w:rPr>
                <w:color w:val="auto"/>
              </w:rPr>
              <w:t>因此该项指标得满分。</w:t>
            </w:r>
          </w:p>
        </w:tc>
        <w:tc>
          <w:tcPr>
            <w:tcW w:w="972" w:type="dxa"/>
            <w:tcBorders>
              <w:top w:val="nil"/>
              <w:left w:val="nil"/>
              <w:bottom w:val="single" w:color="auto" w:sz="4" w:space="0"/>
              <w:right w:val="single" w:color="auto" w:sz="4" w:space="0"/>
            </w:tcBorders>
            <w:vAlign w:val="center"/>
          </w:tcPr>
          <w:p>
            <w:pPr>
              <w:pStyle w:val="26"/>
              <w:rPr>
                <w:color w:val="auto"/>
              </w:rPr>
            </w:pPr>
            <w:r>
              <w:rPr>
                <w:rFonts w:hint="eastAsia"/>
                <w:color w:val="auto"/>
              </w:rPr>
              <w:t>100</w:t>
            </w:r>
            <w:r>
              <w:rPr>
                <w:color w:val="auto"/>
              </w:rPr>
              <w:t>%</w:t>
            </w:r>
          </w:p>
        </w:tc>
        <w:tc>
          <w:tcPr>
            <w:tcW w:w="941" w:type="dxa"/>
            <w:tcBorders>
              <w:top w:val="nil"/>
              <w:left w:val="nil"/>
              <w:bottom w:val="single" w:color="auto" w:sz="4" w:space="0"/>
              <w:right w:val="single" w:color="auto" w:sz="4" w:space="0"/>
            </w:tcBorders>
            <w:vAlign w:val="center"/>
          </w:tcPr>
          <w:p>
            <w:pPr>
              <w:pStyle w:val="26"/>
              <w:rPr>
                <w:color w:val="auto"/>
              </w:rPr>
            </w:pPr>
            <w:r>
              <w:rPr>
                <w:rFonts w:hint="eastAsia"/>
                <w:color w:val="auto"/>
              </w:rPr>
              <w:t>9</w:t>
            </w:r>
          </w:p>
        </w:tc>
      </w:tr>
      <w:tr>
        <w:tblPrEx>
          <w:tblLayout w:type="fixed"/>
          <w:tblCellMar>
            <w:top w:w="0" w:type="dxa"/>
            <w:left w:w="108" w:type="dxa"/>
            <w:bottom w:w="0" w:type="dxa"/>
            <w:right w:w="108" w:type="dxa"/>
          </w:tblCellMar>
        </w:tblPrEx>
        <w:trPr>
          <w:cantSplit/>
          <w:trHeight w:val="675" w:hRule="atLeast"/>
          <w:jc w:val="center"/>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项目绩效（55）</w:t>
            </w:r>
          </w:p>
        </w:tc>
        <w:tc>
          <w:tcPr>
            <w:tcW w:w="1443" w:type="dxa"/>
            <w:vMerge w:val="restart"/>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项目产出（15）</w:t>
            </w:r>
          </w:p>
        </w:tc>
        <w:tc>
          <w:tcPr>
            <w:tcW w:w="1200" w:type="dxa"/>
            <w:tcBorders>
              <w:top w:val="single" w:color="auto" w:sz="4" w:space="0"/>
              <w:left w:val="single" w:color="auto" w:sz="4" w:space="0"/>
              <w:bottom w:val="single" w:color="auto" w:sz="4" w:space="0"/>
              <w:right w:val="single" w:color="auto" w:sz="4" w:space="0"/>
            </w:tcBorders>
            <w:vAlign w:val="center"/>
          </w:tcPr>
          <w:p>
            <w:pPr>
              <w:pStyle w:val="26"/>
              <w:rPr>
                <w:color w:val="auto"/>
                <w:highlight w:val="none"/>
              </w:rPr>
            </w:pPr>
            <w:r>
              <w:rPr>
                <w:rFonts w:hint="eastAsia"/>
                <w:color w:val="auto"/>
                <w:highlight w:val="none"/>
                <w:lang w:val="en-US" w:eastAsia="zh-CN"/>
              </w:rPr>
              <w:t>维护单位各类系统</w:t>
            </w:r>
            <w:r>
              <w:rPr>
                <w:color w:val="auto"/>
                <w:highlight w:val="none"/>
              </w:rPr>
              <w:t>完成率</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rPr>
                <w:color w:val="auto"/>
                <w:highlight w:val="none"/>
              </w:rPr>
            </w:pPr>
            <w:r>
              <w:rPr>
                <w:color w:val="auto"/>
                <w:highlight w:val="none"/>
              </w:rPr>
              <w:t>5</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rPr>
                <w:color w:val="auto"/>
                <w:highlight w:val="none"/>
              </w:rPr>
            </w:pPr>
            <w:r>
              <w:rPr>
                <w:color w:val="auto"/>
                <w:highlight w:val="none"/>
              </w:rPr>
              <w:t>100%</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color w:val="auto"/>
                <w:highlight w:val="none"/>
              </w:rPr>
              <w:t>计划完成率=实际完成数/计划完成数*100%，达到100%（5分），每降低1%，扣除5%权重分，扣完为止。</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甘肃省人民代表大会常务委员会办公厅业务费项目</w:t>
            </w:r>
            <w:r>
              <w:rPr>
                <w:rFonts w:hint="eastAsia"/>
                <w:color w:val="auto"/>
                <w:highlight w:val="none"/>
              </w:rPr>
              <w:t>。年初计划开展</w:t>
            </w:r>
            <w:r>
              <w:rPr>
                <w:rFonts w:hint="eastAsia"/>
                <w:color w:val="auto"/>
                <w:highlight w:val="none"/>
                <w:lang w:val="en-US" w:eastAsia="zh-CN"/>
              </w:rPr>
              <w:t>4套系统维护</w:t>
            </w:r>
            <w:r>
              <w:rPr>
                <w:rFonts w:hint="eastAsia"/>
                <w:color w:val="auto"/>
                <w:highlight w:val="none"/>
              </w:rPr>
              <w:t>，</w:t>
            </w:r>
            <w:r>
              <w:rPr>
                <w:rFonts w:hint="eastAsia"/>
                <w:color w:val="auto"/>
                <w:highlight w:val="none"/>
                <w:lang w:val="en-US" w:eastAsia="zh-CN"/>
              </w:rPr>
              <w:t>实际已完成4套系统的维护，</w:t>
            </w:r>
            <w:r>
              <w:rPr>
                <w:rFonts w:hint="eastAsia"/>
                <w:color w:val="auto"/>
                <w:highlight w:val="none"/>
              </w:rPr>
              <w:t>计划完成率为100%。</w:t>
            </w:r>
          </w:p>
        </w:tc>
        <w:tc>
          <w:tcPr>
            <w:tcW w:w="972"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rPr>
              <w:t>100</w:t>
            </w:r>
            <w:r>
              <w:rPr>
                <w:color w:val="auto"/>
                <w:highlight w:val="none"/>
              </w:rPr>
              <w:t>%</w:t>
            </w:r>
          </w:p>
        </w:tc>
        <w:tc>
          <w:tcPr>
            <w:tcW w:w="941"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rPr>
              <w:t>5</w:t>
            </w:r>
          </w:p>
        </w:tc>
      </w:tr>
      <w:tr>
        <w:tblPrEx>
          <w:tblLayout w:type="fixed"/>
          <w:tblCellMar>
            <w:top w:w="0" w:type="dxa"/>
            <w:left w:w="108" w:type="dxa"/>
            <w:bottom w:w="0" w:type="dxa"/>
            <w:right w:w="108" w:type="dxa"/>
          </w:tblCellMar>
        </w:tblPrEx>
        <w:trPr>
          <w:cantSplit/>
          <w:trHeight w:val="450"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rFonts w:hint="eastAsia"/>
                <w:highlight w:val="none"/>
                <w:lang w:val="en-US" w:eastAsia="zh-CN"/>
              </w:rPr>
              <w:t>立法调研次数完成</w:t>
            </w:r>
            <w:r>
              <w:rPr>
                <w:rFonts w:hint="eastAsia"/>
                <w:highlight w:val="none"/>
              </w:rPr>
              <w:t>率</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4</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100%</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highlight w:val="none"/>
              </w:rPr>
            </w:pPr>
            <w:r>
              <w:rPr>
                <w:color w:val="auto"/>
                <w:highlight w:val="none"/>
              </w:rPr>
              <w:t>计划完成率=实际完成数/计划完成数*100%，达到100%（5分），每降低1%，扣除5%权重分，扣完为止。</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甘肃省人民代表大会常务委员会办公厅业务费项目</w:t>
            </w:r>
            <w:r>
              <w:rPr>
                <w:rFonts w:hint="eastAsia"/>
                <w:color w:val="auto"/>
                <w:highlight w:val="none"/>
              </w:rPr>
              <w:t>。年初计划开展</w:t>
            </w:r>
            <w:r>
              <w:rPr>
                <w:rFonts w:hint="eastAsia"/>
                <w:color w:val="auto"/>
                <w:highlight w:val="none"/>
                <w:lang w:val="en-US" w:eastAsia="zh-CN"/>
              </w:rPr>
              <w:t>立法调研</w:t>
            </w:r>
            <w:r>
              <w:rPr>
                <w:rFonts w:hint="eastAsia"/>
                <w:color w:val="auto"/>
                <w:highlight w:val="none"/>
              </w:rPr>
              <w:t>完成率为100%。</w:t>
            </w:r>
          </w:p>
        </w:tc>
        <w:tc>
          <w:tcPr>
            <w:tcW w:w="972" w:type="dxa"/>
            <w:tcBorders>
              <w:top w:val="nil"/>
              <w:left w:val="nil"/>
              <w:bottom w:val="single" w:color="auto" w:sz="4" w:space="0"/>
              <w:right w:val="single" w:color="auto" w:sz="4" w:space="0"/>
            </w:tcBorders>
            <w:vAlign w:val="center"/>
          </w:tcPr>
          <w:p>
            <w:pPr>
              <w:pStyle w:val="26"/>
              <w:rPr>
                <w:color w:val="auto"/>
                <w:highlight w:val="none"/>
              </w:rPr>
            </w:pPr>
            <w:r>
              <w:rPr>
                <w:color w:val="auto"/>
                <w:highlight w:val="none"/>
              </w:rPr>
              <w:t>100%</w:t>
            </w:r>
          </w:p>
        </w:tc>
        <w:tc>
          <w:tcPr>
            <w:tcW w:w="941" w:type="dxa"/>
            <w:tcBorders>
              <w:top w:val="nil"/>
              <w:left w:val="nil"/>
              <w:bottom w:val="single" w:color="auto" w:sz="4" w:space="0"/>
              <w:right w:val="single" w:color="auto" w:sz="4" w:space="0"/>
            </w:tcBorders>
            <w:vAlign w:val="center"/>
          </w:tcPr>
          <w:p>
            <w:pPr>
              <w:pStyle w:val="26"/>
              <w:rPr>
                <w:color w:val="auto"/>
                <w:highlight w:val="none"/>
              </w:rPr>
            </w:pPr>
            <w:r>
              <w:rPr>
                <w:color w:val="auto"/>
                <w:highlight w:val="none"/>
              </w:rPr>
              <w:t>4</w:t>
            </w:r>
          </w:p>
        </w:tc>
      </w:tr>
      <w:tr>
        <w:tblPrEx>
          <w:tblLayout w:type="fixed"/>
          <w:tblCellMar>
            <w:top w:w="0" w:type="dxa"/>
            <w:left w:w="108" w:type="dxa"/>
            <w:bottom w:w="0" w:type="dxa"/>
            <w:right w:w="108" w:type="dxa"/>
          </w:tblCellMar>
        </w:tblPrEx>
        <w:trPr>
          <w:cantSplit/>
          <w:trHeight w:val="675"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rFonts w:hint="eastAsia"/>
                <w:highlight w:val="none"/>
                <w:lang w:val="en-US" w:eastAsia="zh-CN"/>
              </w:rPr>
              <w:t>工作开展</w:t>
            </w:r>
            <w:r>
              <w:rPr>
                <w:highlight w:val="none"/>
              </w:rPr>
              <w:t>及时率</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3</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100%</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color w:val="auto"/>
                <w:highlight w:val="none"/>
              </w:rPr>
              <w:t>完成及时率=实际按时完成/计划按时完成*100%，达到100%（3分），每降低1%，扣除5%权重分，扣完为止。</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sz w:val="24"/>
                <w:szCs w:val="24"/>
                <w:highlight w:val="none"/>
              </w:rPr>
            </w:pPr>
            <w:r>
              <w:rPr>
                <w:rFonts w:hint="eastAsia"/>
                <w:color w:val="auto"/>
                <w:sz w:val="24"/>
                <w:szCs w:val="24"/>
                <w:highlight w:val="none"/>
                <w:lang w:eastAsia="zh-CN"/>
              </w:rPr>
              <w:t>2021</w:t>
            </w:r>
            <w:r>
              <w:rPr>
                <w:rFonts w:hint="eastAsia"/>
                <w:color w:val="auto"/>
                <w:sz w:val="24"/>
                <w:szCs w:val="24"/>
                <w:highlight w:val="none"/>
              </w:rPr>
              <w:t>年度</w:t>
            </w:r>
            <w:r>
              <w:rPr>
                <w:rFonts w:hint="eastAsia"/>
                <w:color w:val="auto"/>
                <w:sz w:val="24"/>
                <w:szCs w:val="24"/>
                <w:highlight w:val="none"/>
                <w:lang w:eastAsia="zh-CN"/>
              </w:rPr>
              <w:t>甘肃省人民代表大会常务委员会办公厅业务费项目</w:t>
            </w:r>
            <w:r>
              <w:rPr>
                <w:rFonts w:hint="eastAsia"/>
                <w:color w:val="auto"/>
                <w:sz w:val="24"/>
                <w:szCs w:val="24"/>
                <w:highlight w:val="none"/>
              </w:rPr>
              <w:t>，2021年</w:t>
            </w:r>
            <w:r>
              <w:rPr>
                <w:rFonts w:hint="eastAsia"/>
                <w:color w:val="auto"/>
                <w:sz w:val="24"/>
                <w:szCs w:val="24"/>
                <w:highlight w:val="none"/>
                <w:lang w:eastAsia="zh-CN"/>
              </w:rPr>
              <w:t>甘肃省人民代表大会常务委员会办公厅</w:t>
            </w:r>
            <w:r>
              <w:rPr>
                <w:rFonts w:hint="eastAsia"/>
                <w:color w:val="auto"/>
                <w:sz w:val="24"/>
                <w:szCs w:val="24"/>
                <w:highlight w:val="none"/>
              </w:rPr>
              <w:t>按计划开展</w:t>
            </w:r>
            <w:r>
              <w:rPr>
                <w:rStyle w:val="28"/>
                <w:rFonts w:hint="eastAsia"/>
                <w:color w:val="auto"/>
                <w:sz w:val="24"/>
                <w:szCs w:val="24"/>
                <w:highlight w:val="none"/>
                <w:lang w:val="en-US" w:eastAsia="zh-CN" w:bidi="ar"/>
              </w:rPr>
              <w:t>4套系统维护，</w:t>
            </w:r>
            <w:r>
              <w:rPr>
                <w:rStyle w:val="28"/>
                <w:rFonts w:hint="eastAsia"/>
                <w:color w:val="auto"/>
                <w:sz w:val="24"/>
                <w:szCs w:val="24"/>
                <w:highlight w:val="none"/>
                <w:lang w:eastAsia="zh-CN" w:bidi="ar"/>
              </w:rPr>
              <w:t>甘肃省人民代表大会常务委员会办公厅业务费项目</w:t>
            </w:r>
            <w:r>
              <w:rPr>
                <w:rStyle w:val="28"/>
                <w:rFonts w:hint="eastAsia"/>
                <w:color w:val="auto"/>
                <w:sz w:val="24"/>
                <w:szCs w:val="24"/>
                <w:highlight w:val="none"/>
                <w:lang w:bidi="ar"/>
              </w:rPr>
              <w:t>计划完成率分析为100%。</w:t>
            </w:r>
            <w:r>
              <w:rPr>
                <w:rFonts w:hint="eastAsia"/>
                <w:color w:val="auto"/>
                <w:sz w:val="24"/>
                <w:szCs w:val="24"/>
                <w:highlight w:val="none"/>
              </w:rPr>
              <w:t>根据评分规则，该项指标得满分。</w:t>
            </w:r>
          </w:p>
        </w:tc>
        <w:tc>
          <w:tcPr>
            <w:tcW w:w="972"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rPr>
              <w:t>100</w:t>
            </w:r>
            <w:r>
              <w:rPr>
                <w:color w:val="auto"/>
                <w:highlight w:val="none"/>
              </w:rPr>
              <w:t>%</w:t>
            </w:r>
          </w:p>
        </w:tc>
        <w:tc>
          <w:tcPr>
            <w:tcW w:w="941"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rPr>
              <w:t>3</w:t>
            </w:r>
          </w:p>
        </w:tc>
      </w:tr>
      <w:tr>
        <w:tblPrEx>
          <w:tblLayout w:type="fixed"/>
          <w:tblCellMar>
            <w:top w:w="0" w:type="dxa"/>
            <w:left w:w="108" w:type="dxa"/>
            <w:bottom w:w="0" w:type="dxa"/>
            <w:right w:w="108" w:type="dxa"/>
          </w:tblCellMar>
        </w:tblPrEx>
        <w:trPr>
          <w:cantSplit/>
          <w:trHeight w:val="675" w:hRule="atLeast"/>
          <w:jc w:val="center"/>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项目绩效（55）</w:t>
            </w:r>
          </w:p>
        </w:tc>
        <w:tc>
          <w:tcPr>
            <w:tcW w:w="1443"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项目产出（15）</w:t>
            </w:r>
          </w:p>
        </w:tc>
        <w:tc>
          <w:tcPr>
            <w:tcW w:w="1200"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成本控制率</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3</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100%</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color w:val="auto"/>
                <w:highlight w:val="none"/>
              </w:rPr>
              <w:t>成本控制率=实际成本/计划总成本*100%，不超过100%（3分），每提高1%，扣除5%权重分，扣完为止。</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甘肃省人民代表大会常务委员会办公厅业务费项目</w:t>
            </w:r>
            <w:r>
              <w:rPr>
                <w:rFonts w:hint="eastAsia"/>
                <w:color w:val="auto"/>
                <w:highlight w:val="none"/>
              </w:rPr>
              <w:t>资金总额7</w:t>
            </w:r>
            <w:r>
              <w:rPr>
                <w:rFonts w:hint="eastAsia"/>
                <w:color w:val="auto"/>
                <w:highlight w:val="none"/>
                <w:lang w:val="en-US" w:eastAsia="zh-CN"/>
              </w:rPr>
              <w:t>60</w:t>
            </w:r>
            <w:r>
              <w:rPr>
                <w:rFonts w:hint="eastAsia"/>
                <w:color w:val="auto"/>
                <w:highlight w:val="none"/>
              </w:rPr>
              <w:t>万元，截至</w:t>
            </w:r>
            <w:r>
              <w:rPr>
                <w:rFonts w:hint="eastAsia"/>
                <w:color w:val="auto"/>
                <w:highlight w:val="none"/>
                <w:lang w:eastAsia="zh-CN"/>
              </w:rPr>
              <w:t>2021</w:t>
            </w:r>
            <w:r>
              <w:rPr>
                <w:rFonts w:hint="eastAsia"/>
                <w:color w:val="auto"/>
                <w:highlight w:val="none"/>
              </w:rPr>
              <w:t>年年末，</w:t>
            </w:r>
            <w:r>
              <w:rPr>
                <w:rFonts w:hint="eastAsia"/>
                <w:color w:val="auto"/>
                <w:highlight w:val="none"/>
                <w:lang w:val="en-US" w:eastAsia="zh-CN"/>
              </w:rPr>
              <w:t>业务费</w:t>
            </w:r>
            <w:r>
              <w:rPr>
                <w:rFonts w:hint="eastAsia"/>
                <w:color w:val="auto"/>
                <w:highlight w:val="none"/>
              </w:rPr>
              <w:t>费资金共支出</w:t>
            </w:r>
            <w:r>
              <w:rPr>
                <w:rFonts w:hint="eastAsia"/>
                <w:color w:val="auto"/>
                <w:highlight w:val="none"/>
                <w:lang w:val="en-US" w:eastAsia="zh-CN"/>
              </w:rPr>
              <w:t>760</w:t>
            </w:r>
            <w:r>
              <w:rPr>
                <w:rFonts w:hint="eastAsia"/>
                <w:color w:val="auto"/>
                <w:highlight w:val="none"/>
              </w:rPr>
              <w:t>万元，总预算执行率100%，该项目成本控制率为100%，项目金额控制在预算成本内，项目控制较好。根据评分规则，该项指标得满分。</w:t>
            </w:r>
          </w:p>
        </w:tc>
        <w:tc>
          <w:tcPr>
            <w:tcW w:w="972"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rPr>
              <w:t>100%</w:t>
            </w:r>
          </w:p>
        </w:tc>
        <w:tc>
          <w:tcPr>
            <w:tcW w:w="941"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rPr>
              <w:t>3</w:t>
            </w:r>
          </w:p>
        </w:tc>
      </w:tr>
      <w:tr>
        <w:tblPrEx>
          <w:tblLayout w:type="fixed"/>
          <w:tblCellMar>
            <w:top w:w="0" w:type="dxa"/>
            <w:left w:w="108" w:type="dxa"/>
            <w:bottom w:w="0" w:type="dxa"/>
            <w:right w:w="108" w:type="dxa"/>
          </w:tblCellMar>
        </w:tblPrEx>
        <w:trPr>
          <w:cantSplit/>
          <w:trHeight w:val="675"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vMerge w:val="restart"/>
            <w:tcBorders>
              <w:top w:val="single" w:color="auto" w:sz="4" w:space="0"/>
              <w:left w:val="single" w:color="auto" w:sz="4" w:space="0"/>
              <w:bottom w:val="single" w:color="auto" w:sz="4" w:space="0"/>
              <w:right w:val="single" w:color="auto" w:sz="4" w:space="0"/>
            </w:tcBorders>
            <w:vAlign w:val="center"/>
          </w:tcPr>
          <w:p>
            <w:pPr>
              <w:pStyle w:val="26"/>
              <w:rPr>
                <w:highlight w:val="yellow"/>
              </w:rPr>
            </w:pPr>
            <w:r>
              <w:rPr>
                <w:highlight w:val="none"/>
              </w:rPr>
              <w:t>项目效果（40）</w:t>
            </w:r>
          </w:p>
        </w:tc>
        <w:tc>
          <w:tcPr>
            <w:tcW w:w="1200" w:type="dxa"/>
            <w:tcBorders>
              <w:top w:val="single" w:color="auto" w:sz="4" w:space="0"/>
              <w:left w:val="single" w:color="auto" w:sz="4" w:space="0"/>
              <w:bottom w:val="single" w:color="auto" w:sz="4" w:space="0"/>
              <w:right w:val="single" w:color="auto" w:sz="4" w:space="0"/>
            </w:tcBorders>
            <w:vAlign w:val="center"/>
          </w:tcPr>
          <w:p>
            <w:pPr>
              <w:pStyle w:val="26"/>
              <w:rPr>
                <w:rFonts w:hint="default" w:eastAsia="仿宋_GB2312"/>
                <w:highlight w:val="none"/>
                <w:lang w:val="en-US" w:eastAsia="zh-CN"/>
              </w:rPr>
            </w:pPr>
            <w:r>
              <w:rPr>
                <w:rFonts w:hint="eastAsia"/>
                <w:highlight w:val="none"/>
                <w:lang w:val="en-US" w:eastAsia="zh-CN"/>
              </w:rPr>
              <w:t>单位工作正常开展保障性</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rPr>
                <w:rFonts w:hint="default"/>
                <w:highlight w:val="none"/>
                <w:lang w:val="en-US"/>
              </w:rPr>
            </w:pPr>
          </w:p>
        </w:tc>
        <w:tc>
          <w:tcPr>
            <w:tcW w:w="1001" w:type="dxa"/>
            <w:tcBorders>
              <w:top w:val="single" w:color="auto" w:sz="4" w:space="0"/>
              <w:left w:val="single" w:color="auto" w:sz="4" w:space="0"/>
              <w:bottom w:val="single" w:color="auto" w:sz="4" w:space="0"/>
              <w:right w:val="single" w:color="auto" w:sz="4" w:space="0"/>
            </w:tcBorders>
            <w:vAlign w:val="center"/>
          </w:tcPr>
          <w:p>
            <w:pPr>
              <w:pStyle w:val="26"/>
              <w:rPr>
                <w:rFonts w:hint="eastAsia" w:eastAsia="仿宋_GB2312"/>
                <w:highlight w:val="none"/>
                <w:lang w:val="en-US" w:eastAsia="zh-CN"/>
              </w:rPr>
            </w:pPr>
            <w:r>
              <w:rPr>
                <w:rFonts w:hint="eastAsia"/>
                <w:highlight w:val="none"/>
                <w:lang w:val="en-US" w:eastAsia="zh-CN"/>
              </w:rPr>
              <w:t>保障</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color w:val="auto"/>
                <w:highlight w:val="none"/>
              </w:rPr>
              <w:t>达到目标值得50%权重分，否则不得分；每超过标杆值的10%增加5%权重分，加满为止。</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rFonts w:hint="eastAsia"/>
                <w:color w:val="auto"/>
                <w:highlight w:val="none"/>
                <w:lang w:val="en-US" w:eastAsia="zh-CN"/>
              </w:rPr>
              <w:t>根据甘肃省人民代表大会常务委员会办公厅相关数据材料，年初计划的各项工作均已完成，顺利保障了单位各项工作的开展</w:t>
            </w:r>
            <w:r>
              <w:rPr>
                <w:rFonts w:hint="eastAsia"/>
                <w:color w:val="auto"/>
                <w:highlight w:val="none"/>
              </w:rPr>
              <w:t>，</w:t>
            </w:r>
            <w:r>
              <w:rPr>
                <w:rFonts w:hint="eastAsia"/>
                <w:color w:val="auto"/>
                <w:highlight w:val="none"/>
                <w:lang w:eastAsia="zh-CN"/>
              </w:rPr>
              <w:t>2021</w:t>
            </w:r>
            <w:r>
              <w:rPr>
                <w:rFonts w:hint="eastAsia"/>
                <w:color w:val="auto"/>
                <w:highlight w:val="none"/>
              </w:rPr>
              <w:t>年</w:t>
            </w:r>
            <w:r>
              <w:rPr>
                <w:rFonts w:hint="eastAsia"/>
                <w:color w:val="auto"/>
                <w:highlight w:val="none"/>
                <w:lang w:eastAsia="zh-CN"/>
              </w:rPr>
              <w:t>甘肃省人民代表大会常务委员会办公厅业务费项目</w:t>
            </w:r>
            <w:r>
              <w:rPr>
                <w:rFonts w:hint="eastAsia"/>
                <w:color w:val="auto"/>
                <w:highlight w:val="none"/>
              </w:rPr>
              <w:t>已完成。</w:t>
            </w:r>
            <w:r>
              <w:rPr>
                <w:rFonts w:hint="eastAsia"/>
                <w:highlight w:val="none"/>
              </w:rPr>
              <w:t>根据评分规则，该项指标得满分。</w:t>
            </w:r>
          </w:p>
        </w:tc>
        <w:tc>
          <w:tcPr>
            <w:tcW w:w="972"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rPr>
              <w:t>100</w:t>
            </w:r>
            <w:r>
              <w:rPr>
                <w:color w:val="auto"/>
                <w:highlight w:val="none"/>
              </w:rPr>
              <w:t>%</w:t>
            </w:r>
          </w:p>
        </w:tc>
        <w:tc>
          <w:tcPr>
            <w:tcW w:w="941"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rPr>
              <w:t>24</w:t>
            </w:r>
          </w:p>
        </w:tc>
      </w:tr>
      <w:tr>
        <w:tblPrEx>
          <w:tblLayout w:type="fixed"/>
          <w:tblCellMar>
            <w:top w:w="0" w:type="dxa"/>
            <w:left w:w="108" w:type="dxa"/>
            <w:bottom w:w="0" w:type="dxa"/>
            <w:right w:w="108" w:type="dxa"/>
          </w:tblCellMar>
        </w:tblPrEx>
        <w:trPr>
          <w:cantSplit/>
          <w:trHeight w:val="219"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none"/>
              </w:rPr>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信息公开完备性</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rFonts w:hint="eastAsia"/>
                <w:highlight w:val="none"/>
              </w:rPr>
              <w:t>5</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完备</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color w:val="auto"/>
                <w:highlight w:val="none"/>
              </w:rPr>
              <w:t>信息公开完备（3分），不够完备（1.5分），不完备（0分）。</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color w:val="auto"/>
                <w:highlight w:val="none"/>
              </w:rPr>
              <w:t>根据</w:t>
            </w:r>
            <w:r>
              <w:rPr>
                <w:rFonts w:hint="eastAsia"/>
                <w:color w:val="auto"/>
                <w:highlight w:val="none"/>
                <w:lang w:val="en-US" w:eastAsia="zh-CN"/>
              </w:rPr>
              <w:t>甘肃省人民代表大会常务委员会办公厅</w:t>
            </w:r>
            <w:r>
              <w:rPr>
                <w:rFonts w:hint="eastAsia"/>
                <w:color w:val="auto"/>
                <w:highlight w:val="none"/>
              </w:rPr>
              <w:t>及财政厅要求</w:t>
            </w:r>
            <w:r>
              <w:rPr>
                <w:color w:val="auto"/>
                <w:highlight w:val="none"/>
              </w:rPr>
              <w:t>，</w:t>
            </w:r>
            <w:r>
              <w:rPr>
                <w:rFonts w:hint="eastAsia"/>
                <w:color w:val="auto"/>
                <w:highlight w:val="none"/>
                <w:lang w:val="en-US" w:eastAsia="zh-CN"/>
              </w:rPr>
              <w:t>甘肃省人民代表大会常务委员会办公厅</w:t>
            </w:r>
            <w:r>
              <w:rPr>
                <w:rFonts w:hint="eastAsia"/>
                <w:color w:val="auto"/>
                <w:highlight w:val="none"/>
              </w:rPr>
              <w:t>在本单位及财政厅网站上及时公开项目绩效目标申报表及项目申报金额。</w:t>
            </w:r>
            <w:r>
              <w:rPr>
                <w:color w:val="auto"/>
                <w:highlight w:val="none"/>
              </w:rPr>
              <w:t>信息公开完备。因此该项指标得满分。</w:t>
            </w:r>
          </w:p>
        </w:tc>
        <w:tc>
          <w:tcPr>
            <w:tcW w:w="972" w:type="dxa"/>
            <w:tcBorders>
              <w:top w:val="nil"/>
              <w:left w:val="nil"/>
              <w:bottom w:val="single" w:color="auto" w:sz="4" w:space="0"/>
              <w:right w:val="single" w:color="auto" w:sz="4" w:space="0"/>
            </w:tcBorders>
            <w:vAlign w:val="center"/>
          </w:tcPr>
          <w:p>
            <w:pPr>
              <w:pStyle w:val="26"/>
              <w:rPr>
                <w:color w:val="auto"/>
                <w:highlight w:val="none"/>
              </w:rPr>
            </w:pPr>
            <w:r>
              <w:rPr>
                <w:color w:val="auto"/>
                <w:highlight w:val="none"/>
              </w:rPr>
              <w:t>100%</w:t>
            </w:r>
          </w:p>
        </w:tc>
        <w:tc>
          <w:tcPr>
            <w:tcW w:w="941"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rPr>
              <w:t>5</w:t>
            </w:r>
          </w:p>
        </w:tc>
      </w:tr>
      <w:tr>
        <w:tblPrEx>
          <w:tblLayout w:type="fixed"/>
          <w:tblCellMar>
            <w:top w:w="0" w:type="dxa"/>
            <w:left w:w="108" w:type="dxa"/>
            <w:bottom w:w="0" w:type="dxa"/>
            <w:right w:w="108" w:type="dxa"/>
          </w:tblCellMar>
        </w:tblPrEx>
        <w:trPr>
          <w:cantSplit/>
          <w:trHeight w:val="1472"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rFonts w:hint="eastAsia"/>
                <w:highlight w:val="none"/>
              </w:rPr>
              <w:t>长效管理机制</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rFonts w:hint="eastAsia"/>
                <w:highlight w:val="none"/>
              </w:rPr>
              <w:t>5</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健全</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color w:val="auto"/>
                <w:highlight w:val="none"/>
              </w:rPr>
              <w:t>维护机制完备（</w:t>
            </w:r>
            <w:r>
              <w:rPr>
                <w:rFonts w:hint="eastAsia"/>
                <w:color w:val="auto"/>
                <w:highlight w:val="none"/>
                <w:lang w:val="en-US" w:eastAsia="zh-CN"/>
              </w:rPr>
              <w:t>5</w:t>
            </w:r>
            <w:r>
              <w:rPr>
                <w:color w:val="auto"/>
                <w:highlight w:val="none"/>
              </w:rPr>
              <w:t>分），不够完备（</w:t>
            </w:r>
            <w:r>
              <w:rPr>
                <w:rFonts w:hint="eastAsia"/>
                <w:color w:val="auto"/>
                <w:highlight w:val="none"/>
                <w:lang w:val="en-US" w:eastAsia="zh-CN"/>
              </w:rPr>
              <w:t>3</w:t>
            </w:r>
            <w:r>
              <w:rPr>
                <w:color w:val="auto"/>
                <w:highlight w:val="none"/>
              </w:rPr>
              <w:t>分），不完备（0分）。</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color w:val="auto"/>
                <w:highlight w:val="none"/>
              </w:rPr>
              <w:t>根据</w:t>
            </w:r>
            <w:r>
              <w:rPr>
                <w:rFonts w:hint="eastAsia"/>
                <w:color w:val="auto"/>
                <w:highlight w:val="none"/>
              </w:rPr>
              <w:t>前期调查，审核制度严格，根据层层审核申报，统计数</w:t>
            </w:r>
            <w:r>
              <w:rPr>
                <w:rFonts w:hint="eastAsia"/>
                <w:color w:val="auto"/>
                <w:highlight w:val="none"/>
                <w:lang w:eastAsia="zh-CN"/>
              </w:rPr>
              <w:t>甘肃省人民代表大会常务委员会办公厅</w:t>
            </w:r>
            <w:r>
              <w:rPr>
                <w:rFonts w:hint="eastAsia"/>
                <w:color w:val="auto"/>
                <w:highlight w:val="none"/>
                <w:lang w:val="en-US" w:eastAsia="zh-CN"/>
              </w:rPr>
              <w:t>业务费</w:t>
            </w:r>
            <w:r>
              <w:rPr>
                <w:rFonts w:hint="eastAsia"/>
                <w:color w:val="auto"/>
                <w:highlight w:val="none"/>
              </w:rPr>
              <w:t>项目，该项工作已经态化，属基本工作要求，并能很好的执行。但部分制度仍旧需要不断完善，如项目管理制度，对项目实施完成后的监管机制仍旧需要不断完善，根据评分规则，该项指标</w:t>
            </w:r>
            <w:r>
              <w:rPr>
                <w:rFonts w:hint="eastAsia"/>
                <w:color w:val="auto"/>
                <w:highlight w:val="none"/>
                <w:lang w:val="en-US" w:eastAsia="zh-CN"/>
              </w:rPr>
              <w:t>得3分。</w:t>
            </w:r>
          </w:p>
        </w:tc>
        <w:tc>
          <w:tcPr>
            <w:tcW w:w="972"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lang w:val="en-US" w:eastAsia="zh-CN"/>
              </w:rPr>
              <w:t>60</w:t>
            </w:r>
            <w:r>
              <w:rPr>
                <w:rFonts w:hint="eastAsia"/>
                <w:color w:val="auto"/>
                <w:highlight w:val="none"/>
              </w:rPr>
              <w:t>%</w:t>
            </w:r>
          </w:p>
        </w:tc>
        <w:tc>
          <w:tcPr>
            <w:tcW w:w="941"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rPr>
              <w:t>3</w:t>
            </w:r>
          </w:p>
        </w:tc>
      </w:tr>
      <w:tr>
        <w:tblPrEx>
          <w:tblLayout w:type="fixed"/>
          <w:tblCellMar>
            <w:top w:w="0" w:type="dxa"/>
            <w:left w:w="108" w:type="dxa"/>
            <w:bottom w:w="0" w:type="dxa"/>
            <w:right w:w="108" w:type="dxa"/>
          </w:tblCellMar>
        </w:tblPrEx>
        <w:trPr>
          <w:cantSplit/>
          <w:trHeight w:val="1520"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rFonts w:hint="eastAsia"/>
                <w:highlight w:val="none"/>
              </w:rPr>
              <w:t>受益人员</w:t>
            </w:r>
            <w:r>
              <w:rPr>
                <w:highlight w:val="none"/>
              </w:rPr>
              <w:t>满意度</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rFonts w:hint="eastAsia"/>
                <w:highlight w:val="none"/>
              </w:rPr>
              <w:t>6</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rFonts w:hint="eastAsia"/>
                <w:highlight w:val="none"/>
              </w:rPr>
              <w:t>90</w:t>
            </w:r>
            <w:r>
              <w:rPr>
                <w:highlight w:val="none"/>
              </w:rPr>
              <w:t>%</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color w:val="auto"/>
                <w:highlight w:val="none"/>
              </w:rPr>
              <w:t>服务对象满意度在85%以上（3分）</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color w:val="auto"/>
                <w:highlight w:val="none"/>
              </w:rPr>
              <w:t>根据满意度调查问卷的数据分析，</w:t>
            </w:r>
            <w:r>
              <w:rPr>
                <w:rFonts w:hint="eastAsia"/>
                <w:color w:val="auto"/>
                <w:highlight w:val="none"/>
                <w:lang w:eastAsia="zh-CN"/>
              </w:rPr>
              <w:t>甘肃省人民代表大会常务委员会办公厅</w:t>
            </w:r>
            <w:r>
              <w:rPr>
                <w:rFonts w:hint="eastAsia"/>
                <w:color w:val="auto"/>
                <w:highlight w:val="none"/>
                <w:lang w:val="en-US" w:eastAsia="zh-CN"/>
              </w:rPr>
              <w:t>单位工作人员满意度为</w:t>
            </w:r>
            <w:r>
              <w:rPr>
                <w:color w:val="auto"/>
                <w:highlight w:val="none"/>
              </w:rPr>
              <w:t>为</w:t>
            </w:r>
            <w:r>
              <w:rPr>
                <w:rFonts w:hint="eastAsia"/>
                <w:color w:val="auto"/>
                <w:highlight w:val="none"/>
                <w:lang w:val="en-US" w:eastAsia="zh-CN"/>
              </w:rPr>
              <w:t>95</w:t>
            </w:r>
            <w:r>
              <w:rPr>
                <w:color w:val="auto"/>
                <w:highlight w:val="none"/>
              </w:rPr>
              <w:t>%，根据评分标准，该项指标得满分。</w:t>
            </w:r>
          </w:p>
        </w:tc>
        <w:tc>
          <w:tcPr>
            <w:tcW w:w="972" w:type="dxa"/>
            <w:tcBorders>
              <w:top w:val="nil"/>
              <w:left w:val="nil"/>
              <w:bottom w:val="single" w:color="auto" w:sz="4" w:space="0"/>
              <w:right w:val="single" w:color="auto" w:sz="4" w:space="0"/>
            </w:tcBorders>
            <w:vAlign w:val="center"/>
          </w:tcPr>
          <w:p>
            <w:pPr>
              <w:pStyle w:val="26"/>
              <w:rPr>
                <w:color w:val="auto"/>
                <w:highlight w:val="none"/>
              </w:rPr>
            </w:pPr>
            <w:r>
              <w:rPr>
                <w:color w:val="auto"/>
                <w:highlight w:val="none"/>
              </w:rPr>
              <w:t>100%</w:t>
            </w:r>
          </w:p>
        </w:tc>
        <w:tc>
          <w:tcPr>
            <w:tcW w:w="941"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rPr>
              <w:t>6</w:t>
            </w:r>
          </w:p>
        </w:tc>
      </w:tr>
      <w:tr>
        <w:tblPrEx>
          <w:tblLayout w:type="fixed"/>
          <w:tblCellMar>
            <w:top w:w="0" w:type="dxa"/>
            <w:left w:w="108" w:type="dxa"/>
            <w:bottom w:w="0" w:type="dxa"/>
            <w:right w:w="108" w:type="dxa"/>
          </w:tblCellMar>
        </w:tblPrEx>
        <w:trPr>
          <w:cantSplit/>
          <w:trHeight w:val="454" w:hRule="atLeast"/>
          <w:jc w:val="center"/>
        </w:trPr>
        <w:tc>
          <w:tcPr>
            <w:tcW w:w="3829" w:type="dxa"/>
            <w:gridSpan w:val="3"/>
            <w:tcBorders>
              <w:top w:val="single" w:color="auto" w:sz="4" w:space="0"/>
              <w:left w:val="single" w:color="auto" w:sz="4" w:space="0"/>
              <w:bottom w:val="single" w:color="auto" w:sz="4" w:space="0"/>
              <w:right w:val="single" w:color="auto" w:sz="4" w:space="0"/>
            </w:tcBorders>
            <w:vAlign w:val="center"/>
          </w:tcPr>
          <w:p>
            <w:pPr>
              <w:pStyle w:val="26"/>
            </w:pPr>
            <w:r>
              <w:t>总分</w:t>
            </w:r>
          </w:p>
        </w:tc>
        <w:tc>
          <w:tcPr>
            <w:tcW w:w="728" w:type="dxa"/>
            <w:tcBorders>
              <w:top w:val="single" w:color="auto" w:sz="4" w:space="0"/>
              <w:left w:val="nil"/>
              <w:bottom w:val="single" w:color="auto" w:sz="4" w:space="0"/>
              <w:right w:val="single" w:color="auto" w:sz="4" w:space="0"/>
            </w:tcBorders>
            <w:vAlign w:val="center"/>
          </w:tcPr>
          <w:p>
            <w:pPr>
              <w:pStyle w:val="26"/>
            </w:pPr>
            <w:r>
              <w:t>100</w:t>
            </w:r>
          </w:p>
        </w:tc>
        <w:tc>
          <w:tcPr>
            <w:tcW w:w="1001" w:type="dxa"/>
            <w:tcBorders>
              <w:top w:val="single" w:color="auto" w:sz="4" w:space="0"/>
              <w:left w:val="nil"/>
              <w:bottom w:val="single" w:color="auto" w:sz="4" w:space="0"/>
              <w:right w:val="single" w:color="auto" w:sz="4" w:space="0"/>
            </w:tcBorders>
            <w:vAlign w:val="center"/>
          </w:tcPr>
          <w:p>
            <w:pPr>
              <w:pStyle w:val="26"/>
            </w:pPr>
            <w:r>
              <w:rPr>
                <w:rFonts w:hint="eastAsia"/>
              </w:rPr>
              <w:t>-</w:t>
            </w:r>
          </w:p>
        </w:tc>
        <w:tc>
          <w:tcPr>
            <w:tcW w:w="2199" w:type="dxa"/>
            <w:tcBorders>
              <w:top w:val="single" w:color="auto" w:sz="4" w:space="0"/>
              <w:left w:val="nil"/>
              <w:bottom w:val="single" w:color="auto" w:sz="4" w:space="0"/>
              <w:right w:val="single" w:color="auto" w:sz="4" w:space="0"/>
            </w:tcBorders>
            <w:vAlign w:val="center"/>
          </w:tcPr>
          <w:p>
            <w:pPr>
              <w:pStyle w:val="26"/>
              <w:rPr>
                <w:color w:val="auto"/>
              </w:rPr>
            </w:pPr>
            <w:r>
              <w:rPr>
                <w:rFonts w:hint="eastAsia"/>
                <w:color w:val="auto"/>
              </w:rPr>
              <w:t>-</w:t>
            </w:r>
          </w:p>
        </w:tc>
        <w:tc>
          <w:tcPr>
            <w:tcW w:w="6115" w:type="dxa"/>
            <w:tcBorders>
              <w:top w:val="single" w:color="auto" w:sz="4" w:space="0"/>
              <w:left w:val="nil"/>
              <w:bottom w:val="single" w:color="auto" w:sz="4" w:space="0"/>
              <w:right w:val="single" w:color="auto" w:sz="4" w:space="0"/>
            </w:tcBorders>
            <w:vAlign w:val="center"/>
          </w:tcPr>
          <w:p>
            <w:pPr>
              <w:pStyle w:val="26"/>
              <w:jc w:val="center"/>
              <w:rPr>
                <w:color w:val="auto"/>
              </w:rPr>
            </w:pPr>
            <w:r>
              <w:rPr>
                <w:rFonts w:hint="eastAsia"/>
                <w:color w:val="auto"/>
              </w:rPr>
              <w:t>-</w:t>
            </w:r>
          </w:p>
        </w:tc>
        <w:tc>
          <w:tcPr>
            <w:tcW w:w="972" w:type="dxa"/>
            <w:tcBorders>
              <w:top w:val="nil"/>
              <w:left w:val="nil"/>
              <w:bottom w:val="single" w:color="auto" w:sz="4" w:space="0"/>
              <w:right w:val="single" w:color="auto" w:sz="4" w:space="0"/>
            </w:tcBorders>
            <w:vAlign w:val="center"/>
          </w:tcPr>
          <w:p>
            <w:pPr>
              <w:pStyle w:val="26"/>
              <w:rPr>
                <w:rFonts w:hint="default" w:eastAsia="仿宋_GB2312"/>
                <w:color w:val="auto"/>
                <w:lang w:val="en-US" w:eastAsia="zh-CN"/>
              </w:rPr>
            </w:pPr>
            <w:r>
              <w:rPr>
                <w:rFonts w:hint="eastAsia"/>
                <w:color w:val="auto"/>
                <w:lang w:val="en-US" w:eastAsia="zh-CN"/>
              </w:rPr>
              <w:t>98%</w:t>
            </w:r>
          </w:p>
        </w:tc>
        <w:tc>
          <w:tcPr>
            <w:tcW w:w="941" w:type="dxa"/>
            <w:tcBorders>
              <w:top w:val="nil"/>
              <w:left w:val="nil"/>
              <w:bottom w:val="single" w:color="auto" w:sz="4" w:space="0"/>
              <w:right w:val="single" w:color="auto" w:sz="4" w:space="0"/>
            </w:tcBorders>
            <w:vAlign w:val="center"/>
          </w:tcPr>
          <w:p>
            <w:pPr>
              <w:pStyle w:val="26"/>
              <w:rPr>
                <w:rFonts w:hint="default" w:eastAsia="仿宋_GB2312"/>
                <w:color w:val="auto"/>
                <w:lang w:val="en-US" w:eastAsia="zh-CN"/>
              </w:rPr>
            </w:pPr>
            <w:r>
              <w:rPr>
                <w:rFonts w:hint="eastAsia"/>
                <w:color w:val="auto"/>
                <w:lang w:val="en-US" w:eastAsia="zh-CN"/>
              </w:rPr>
              <w:t>98</w:t>
            </w:r>
          </w:p>
        </w:tc>
      </w:tr>
    </w:tbl>
    <w:p>
      <w:pPr>
        <w:pStyle w:val="23"/>
        <w:ind w:firstLine="640"/>
      </w:pPr>
    </w:p>
    <w:p>
      <w:pPr>
        <w:pStyle w:val="23"/>
        <w:ind w:firstLine="640"/>
        <w:sectPr>
          <w:pgSz w:w="16838" w:h="11906" w:orient="landscape"/>
          <w:pgMar w:top="1440" w:right="1080" w:bottom="1440" w:left="1080" w:header="851" w:footer="992" w:gutter="0"/>
          <w:pgNumType w:fmt="decimal"/>
          <w:cols w:space="425" w:num="1"/>
          <w:docGrid w:type="lines" w:linePitch="312" w:charSpace="0"/>
        </w:sectPr>
      </w:pPr>
    </w:p>
    <w:p>
      <w:pPr>
        <w:pStyle w:val="23"/>
        <w:ind w:firstLine="0" w:firstLineChars="0"/>
        <w:outlineLvl w:val="0"/>
      </w:pPr>
      <w:bookmarkStart w:id="122" w:name="_Toc2624"/>
      <w:r>
        <w:rPr>
          <w:rFonts w:hint="eastAsia"/>
        </w:rPr>
        <w:t>附件</w:t>
      </w:r>
      <w:r>
        <w:t>2 满意度报告</w:t>
      </w:r>
      <w:bookmarkEnd w:id="122"/>
    </w:p>
    <w:p>
      <w:pPr>
        <w:pStyle w:val="22"/>
        <w:outlineLvl w:val="9"/>
        <w:rPr>
          <w:rFonts w:hint="eastAsia" w:ascii="仿宋_GB2312" w:hAnsi="仿宋_GB2312" w:eastAsia="仿宋_GB2312" w:cs="仿宋_GB2312"/>
          <w:color w:val="auto"/>
          <w:sz w:val="32"/>
          <w:szCs w:val="32"/>
          <w:lang w:eastAsia="zh-CN"/>
        </w:rPr>
      </w:pPr>
      <w:bookmarkStart w:id="123" w:name="_Toc23784"/>
      <w:bookmarkStart w:id="124" w:name="_Toc28242"/>
      <w:bookmarkStart w:id="125" w:name="_Toc15689"/>
      <w:r>
        <w:rPr>
          <w:rFonts w:hint="eastAsia" w:ascii="仿宋_GB2312" w:hAnsi="仿宋_GB2312" w:eastAsia="仿宋_GB2312" w:cs="仿宋_GB2312"/>
          <w:color w:val="auto"/>
          <w:sz w:val="32"/>
          <w:szCs w:val="32"/>
          <w:lang w:eastAsia="zh-CN"/>
        </w:rPr>
        <w:t>2021</w:t>
      </w:r>
      <w:r>
        <w:rPr>
          <w:rFonts w:hint="eastAsia" w:ascii="仿宋_GB2312" w:hAnsi="仿宋_GB2312" w:eastAsia="仿宋_GB2312" w:cs="仿宋_GB2312"/>
          <w:color w:val="auto"/>
          <w:sz w:val="32"/>
          <w:szCs w:val="32"/>
        </w:rPr>
        <w:t>年度</w:t>
      </w:r>
      <w:bookmarkEnd w:id="123"/>
      <w:r>
        <w:rPr>
          <w:rFonts w:hint="eastAsia" w:ascii="仿宋_GB2312" w:hAnsi="仿宋_GB2312" w:eastAsia="仿宋_GB2312" w:cs="仿宋_GB2312"/>
          <w:color w:val="auto"/>
          <w:sz w:val="32"/>
          <w:szCs w:val="32"/>
          <w:lang w:val="en-US" w:eastAsia="zh-CN"/>
        </w:rPr>
        <w:t>甘肃</w:t>
      </w:r>
      <w:bookmarkEnd w:id="124"/>
      <w:bookmarkEnd w:id="125"/>
      <w:r>
        <w:rPr>
          <w:rFonts w:hint="eastAsia" w:ascii="仿宋_GB2312" w:hAnsi="仿宋_GB2312" w:eastAsia="仿宋_GB2312" w:cs="仿宋_GB2312"/>
          <w:color w:val="auto"/>
          <w:sz w:val="32"/>
          <w:szCs w:val="32"/>
          <w:lang w:eastAsia="zh-CN"/>
        </w:rPr>
        <w:t>甘肃省人民代表大会常务委员会办公厅</w:t>
      </w:r>
    </w:p>
    <w:p>
      <w:pPr>
        <w:pStyle w:val="22"/>
        <w:outlineLvl w:val="9"/>
        <w:rPr>
          <w:rFonts w:hint="eastAsia" w:ascii="仿宋_GB2312" w:hAnsi="仿宋_GB2312" w:eastAsia="仿宋_GB2312" w:cs="仿宋_GB2312"/>
          <w:color w:val="auto"/>
          <w:sz w:val="32"/>
          <w:szCs w:val="32"/>
        </w:rPr>
      </w:pPr>
      <w:bookmarkStart w:id="126" w:name="_Toc14406"/>
      <w:bookmarkStart w:id="127" w:name="_Toc22499"/>
      <w:bookmarkStart w:id="128" w:name="_Toc19535"/>
      <w:r>
        <w:rPr>
          <w:rFonts w:hint="eastAsia" w:ascii="仿宋_GB2312" w:hAnsi="仿宋_GB2312" w:eastAsia="仿宋_GB2312" w:cs="仿宋_GB2312"/>
          <w:color w:val="auto"/>
          <w:sz w:val="32"/>
          <w:szCs w:val="32"/>
          <w:lang w:val="en-US" w:eastAsia="zh-CN"/>
        </w:rPr>
        <w:t>单位工作人员</w:t>
      </w:r>
      <w:r>
        <w:rPr>
          <w:rFonts w:hint="eastAsia" w:ascii="仿宋_GB2312" w:hAnsi="仿宋_GB2312" w:eastAsia="仿宋_GB2312" w:cs="仿宋_GB2312"/>
          <w:color w:val="auto"/>
          <w:sz w:val="32"/>
          <w:szCs w:val="32"/>
        </w:rPr>
        <w:t>满意度调查报告</w:t>
      </w:r>
      <w:bookmarkEnd w:id="126"/>
      <w:bookmarkEnd w:id="127"/>
      <w:bookmarkEnd w:id="128"/>
    </w:p>
    <w:p>
      <w:pPr>
        <w:pStyle w:val="23"/>
        <w:ind w:firstLine="640"/>
        <w:outlineLvl w:val="9"/>
      </w:pPr>
      <w:r>
        <w:rPr>
          <w:rFonts w:hint="eastAsia"/>
        </w:rPr>
        <w:t>一、调研背景</w:t>
      </w:r>
    </w:p>
    <w:p>
      <w:pPr>
        <w:pStyle w:val="23"/>
        <w:ind w:firstLine="640"/>
        <w:outlineLvl w:val="9"/>
      </w:pPr>
      <w:r>
        <w:rPr>
          <w:rFonts w:hint="eastAsia"/>
        </w:rPr>
        <w:t>本次绩效评价的对象为甘肃省人民代表大会常务委员会办公厅单位工作人员，为客观反映部门</w:t>
      </w:r>
      <w:r>
        <w:rPr>
          <w:rFonts w:hint="eastAsia"/>
          <w:lang w:val="en-US" w:eastAsia="zh-CN"/>
        </w:rPr>
        <w:t>项目</w:t>
      </w:r>
      <w:r>
        <w:rPr>
          <w:rFonts w:hint="eastAsia"/>
        </w:rPr>
        <w:t>情况，对涉及的部门职工展开满意度问卷调查，本次绩效评价指标体系中引入了“满意度”指标，评价组采用问卷方式对</w:t>
      </w:r>
      <w:r>
        <w:rPr>
          <w:rFonts w:hint="eastAsia"/>
          <w:lang w:val="en-US" w:eastAsia="zh-CN"/>
        </w:rPr>
        <w:t>2021年度甘肃省人民代表大会常务委员会机关工作人员</w:t>
      </w:r>
      <w:r>
        <w:rPr>
          <w:rFonts w:hint="eastAsia"/>
        </w:rPr>
        <w:t>开展满意度调查。</w:t>
      </w:r>
    </w:p>
    <w:p>
      <w:pPr>
        <w:pStyle w:val="23"/>
        <w:ind w:firstLine="640"/>
        <w:outlineLvl w:val="9"/>
      </w:pPr>
      <w:r>
        <w:rPr>
          <w:rFonts w:hint="eastAsia"/>
        </w:rPr>
        <w:t>二、调查对象与调查内容</w:t>
      </w:r>
    </w:p>
    <w:p>
      <w:pPr>
        <w:pStyle w:val="23"/>
        <w:ind w:firstLine="640"/>
        <w:outlineLvl w:val="9"/>
        <w:rPr>
          <w:rFonts w:hint="eastAsia"/>
        </w:rPr>
      </w:pPr>
      <w:r>
        <w:rPr>
          <w:rFonts w:hint="eastAsia"/>
        </w:rPr>
        <w:t>（一）调查对象</w:t>
      </w:r>
    </w:p>
    <w:p>
      <w:pPr>
        <w:pStyle w:val="23"/>
        <w:ind w:firstLine="640"/>
        <w:outlineLvl w:val="9"/>
        <w:rPr>
          <w:rFonts w:hint="eastAsia"/>
        </w:rPr>
      </w:pPr>
      <w:r>
        <w:rPr>
          <w:rFonts w:hint="eastAsia"/>
        </w:rPr>
        <w:t>本次调查对象为甘肃省人民代表大会常务委员会办公厅</w:t>
      </w:r>
    </w:p>
    <w:p>
      <w:pPr>
        <w:pStyle w:val="23"/>
        <w:ind w:left="0" w:leftChars="0" w:firstLine="0" w:firstLineChars="0"/>
        <w:outlineLvl w:val="9"/>
      </w:pPr>
      <w:r>
        <w:rPr>
          <w:rFonts w:hint="eastAsia"/>
        </w:rPr>
        <w:t>单位工作人员。</w:t>
      </w:r>
    </w:p>
    <w:p>
      <w:pPr>
        <w:pStyle w:val="23"/>
        <w:ind w:firstLine="640"/>
        <w:outlineLvl w:val="9"/>
      </w:pPr>
      <w:r>
        <w:rPr>
          <w:rFonts w:hint="eastAsia"/>
        </w:rPr>
        <w:t>（二）调查内容</w:t>
      </w:r>
    </w:p>
    <w:p>
      <w:pPr>
        <w:pStyle w:val="23"/>
        <w:ind w:firstLine="640"/>
        <w:outlineLvl w:val="9"/>
      </w:pPr>
      <w:r>
        <w:t>1.基本信息包括：性别、年龄、在该部门的工作年长。</w:t>
      </w:r>
    </w:p>
    <w:p>
      <w:pPr>
        <w:pStyle w:val="23"/>
        <w:ind w:firstLine="640"/>
        <w:outlineLvl w:val="9"/>
        <w:rPr>
          <w:rFonts w:hint="default" w:eastAsia="仿宋_GB2312"/>
          <w:lang w:val="en-US" w:eastAsia="zh-CN"/>
        </w:rPr>
      </w:pPr>
      <w:r>
        <w:t>2.基本问题包括：</w:t>
      </w:r>
      <w:r>
        <w:rPr>
          <w:rFonts w:hint="eastAsia"/>
        </w:rPr>
        <w:t>对单位的各项管理制度</w:t>
      </w:r>
      <w:r>
        <w:rPr>
          <w:rFonts w:hint="eastAsia"/>
          <w:lang w:val="en-US" w:eastAsia="zh-CN"/>
        </w:rPr>
        <w:t>的满意度、对本岗位的工作计划安排的满意度、对自己或者周围同事的工作效率的满意度、对各部门同事之间的配合的满意度、对单位的工作环境的满意度、认为单位相关的培训工作是否达到了所计划的效益。</w:t>
      </w:r>
    </w:p>
    <w:p>
      <w:pPr>
        <w:pStyle w:val="23"/>
        <w:ind w:firstLine="640"/>
        <w:outlineLvl w:val="9"/>
        <w:rPr>
          <w:rFonts w:hint="eastAsia" w:eastAsia="仿宋_GB2312"/>
          <w:lang w:val="en-US" w:eastAsia="zh-CN"/>
        </w:rPr>
      </w:pPr>
      <w:r>
        <w:t>3.满意度问题包括：</w:t>
      </w:r>
      <w:r>
        <w:rPr>
          <w:rFonts w:hint="eastAsia"/>
        </w:rPr>
        <w:t>您对所在部门/科室的工作氛围的</w:t>
      </w:r>
      <w:r>
        <w:rPr>
          <w:rFonts w:hint="eastAsia"/>
          <w:lang w:val="en-US" w:eastAsia="zh-CN"/>
        </w:rPr>
        <w:t>评价、您对目前工作教育培训的的评价、您对单位年度考核工作的评价。</w:t>
      </w:r>
    </w:p>
    <w:p>
      <w:pPr>
        <w:pStyle w:val="23"/>
        <w:ind w:firstLine="640"/>
        <w:outlineLvl w:val="9"/>
        <w:rPr>
          <w:rFonts w:hint="eastAsia" w:eastAsia="仿宋_GB2312"/>
          <w:lang w:eastAsia="zh-CN"/>
        </w:rPr>
      </w:pPr>
      <w:r>
        <w:t>4.开放问题包括：</w:t>
      </w:r>
      <w:r>
        <w:rPr>
          <w:rFonts w:hint="eastAsia"/>
        </w:rPr>
        <w:t>您对单位业务费项目的了解情况</w:t>
      </w:r>
      <w:r>
        <w:rPr>
          <w:rFonts w:hint="eastAsia"/>
          <w:lang w:eastAsia="zh-CN"/>
        </w:rPr>
        <w:t>、您对单位的工作还有哪些建议或意见？</w:t>
      </w:r>
    </w:p>
    <w:p>
      <w:pPr>
        <w:pStyle w:val="23"/>
        <w:ind w:firstLine="640"/>
        <w:outlineLvl w:val="9"/>
      </w:pPr>
      <w:r>
        <w:rPr>
          <w:rFonts w:hint="eastAsia"/>
        </w:rPr>
        <w:t>三、调查方法与抽样方式</w:t>
      </w:r>
    </w:p>
    <w:p>
      <w:pPr>
        <w:pStyle w:val="23"/>
        <w:ind w:firstLine="640"/>
        <w:outlineLvl w:val="9"/>
      </w:pPr>
      <w:r>
        <w:rPr>
          <w:rFonts w:hint="eastAsia"/>
        </w:rPr>
        <w:t>（一）调查方法</w:t>
      </w:r>
    </w:p>
    <w:p>
      <w:pPr>
        <w:pStyle w:val="23"/>
        <w:ind w:firstLine="640"/>
        <w:outlineLvl w:val="9"/>
      </w:pPr>
      <w:r>
        <w:rPr>
          <w:rFonts w:hint="eastAsia"/>
        </w:rPr>
        <w:t>针对上述调查对象开展问卷调查，在全面调研开展之前先进行论证，根据论证结果对问卷设计和抽样方案进行一次修改调整。</w:t>
      </w:r>
    </w:p>
    <w:p>
      <w:pPr>
        <w:pStyle w:val="23"/>
        <w:ind w:firstLine="640"/>
        <w:outlineLvl w:val="9"/>
      </w:pPr>
      <w:r>
        <w:rPr>
          <w:rFonts w:hint="eastAsia"/>
        </w:rPr>
        <w:t>（二）抽样方式</w:t>
      </w:r>
    </w:p>
    <w:p>
      <w:pPr>
        <w:pStyle w:val="23"/>
        <w:ind w:firstLine="640"/>
        <w:outlineLvl w:val="9"/>
      </w:pPr>
      <w:r>
        <w:rPr>
          <w:rFonts w:hint="eastAsia"/>
        </w:rPr>
        <w:t>本次问卷调查采用随机抽样方式。</w:t>
      </w:r>
    </w:p>
    <w:p>
      <w:pPr>
        <w:pStyle w:val="23"/>
        <w:ind w:firstLine="640"/>
        <w:outlineLvl w:val="9"/>
      </w:pPr>
      <w:r>
        <w:rPr>
          <w:rFonts w:hint="eastAsia"/>
        </w:rPr>
        <w:t>四、问卷的发放和回收</w:t>
      </w:r>
    </w:p>
    <w:p>
      <w:pPr>
        <w:pStyle w:val="23"/>
        <w:ind w:firstLine="640"/>
        <w:outlineLvl w:val="9"/>
      </w:pPr>
      <w:r>
        <w:rPr>
          <w:rFonts w:hint="eastAsia"/>
        </w:rPr>
        <w:t>为给调查对象创造良好的作答环境、保证调查的科学性和严谨性，我公司工作人员在甘肃省人民代表大会常务委员会办公厅的协调下，组织安排了线上问卷填答工作。本次问卷调查共回收有效问卷</w:t>
      </w:r>
      <w:r>
        <w:rPr>
          <w:rFonts w:hint="eastAsia"/>
          <w:lang w:val="en-US" w:eastAsia="zh-CN"/>
        </w:rPr>
        <w:t>25</w:t>
      </w:r>
      <w:r>
        <w:t>份。</w:t>
      </w:r>
    </w:p>
    <w:p>
      <w:pPr>
        <w:pStyle w:val="23"/>
        <w:ind w:firstLine="640"/>
        <w:outlineLvl w:val="9"/>
      </w:pPr>
      <w:r>
        <w:rPr>
          <w:rFonts w:hint="eastAsia"/>
        </w:rPr>
        <w:t>五、调查问卷的信度与效度分析</w:t>
      </w:r>
    </w:p>
    <w:p>
      <w:pPr>
        <w:pStyle w:val="23"/>
        <w:ind w:firstLine="640"/>
        <w:outlineLvl w:val="9"/>
      </w:pPr>
      <w:r>
        <w:rPr>
          <w:rFonts w:hint="eastAsia"/>
        </w:rPr>
        <w:t>（一）信度分析</w:t>
      </w:r>
    </w:p>
    <w:p>
      <w:pPr>
        <w:pStyle w:val="23"/>
        <w:ind w:firstLine="640"/>
        <w:outlineLvl w:val="9"/>
      </w:pPr>
      <w:r>
        <w:rPr>
          <w:rFonts w:hint="eastAsia"/>
        </w:rPr>
        <w:t>信度（</w:t>
      </w:r>
      <w:r>
        <w:t>Reliability）是指测量结果的一致性、稳定性及可靠性。本次问卷调查运用克朗巴哈信度系数法（Cronbach α）来测量满意度问题的信度，其计算公式为：</w:t>
      </w:r>
    </w:p>
    <w:p>
      <w:pPr>
        <w:outlineLvl w:val="9"/>
      </w:pPr>
    </w:p>
    <w:p>
      <w:pPr>
        <w:pStyle w:val="23"/>
        <w:ind w:firstLine="640"/>
        <w:outlineLvl w:val="9"/>
      </w:pPr>
      <w:r>
        <w:rPr>
          <w:rFonts w:hint="eastAsia"/>
        </w:rPr>
        <w:t>其中</w:t>
      </w:r>
      <w:r>
        <w:t>K表示问卷中问题的数目，为第个问题得分的方差，为总得分的方差。</w:t>
      </w:r>
    </w:p>
    <w:p>
      <w:pPr>
        <w:pStyle w:val="23"/>
        <w:ind w:firstLine="640"/>
        <w:outlineLvl w:val="9"/>
      </w:pPr>
      <w:r>
        <w:rPr>
          <w:rFonts w:hint="eastAsia"/>
        </w:rPr>
        <w:t>通常，克朗巴哈系数的值在</w:t>
      </w:r>
      <w:r>
        <w:t>0和1之间。通常情况下，信度系数在0.9以上，则认为量表的内在信度高；信度系数在0.8～0.9之间，则表示量表信度较高；信度系数在0.7～0.8之间，表示量表具有相当的信度；信度系数不超过0.7，一般认为内部一致信度不足。</w:t>
      </w:r>
    </w:p>
    <w:p>
      <w:pPr>
        <w:pStyle w:val="23"/>
        <w:ind w:firstLine="640"/>
        <w:outlineLvl w:val="9"/>
      </w:pPr>
      <w:r>
        <w:rPr>
          <w:rFonts w:hint="eastAsia"/>
        </w:rPr>
        <w:t>分析结果显示，本次</w:t>
      </w:r>
      <w:r>
        <w:rPr>
          <w:rFonts w:hint="eastAsia"/>
          <w:lang w:val="en-US" w:eastAsia="zh-CN"/>
        </w:rPr>
        <w:t>单位工作人员</w:t>
      </w:r>
      <w:r>
        <w:rPr>
          <w:rFonts w:hint="eastAsia"/>
        </w:rPr>
        <w:t>满意度调查问卷的信度为</w:t>
      </w:r>
      <w:r>
        <w:t>0.9</w:t>
      </w:r>
      <w:r>
        <w:rPr>
          <w:rFonts w:hint="eastAsia"/>
          <w:lang w:val="en-US" w:eastAsia="zh-CN"/>
        </w:rPr>
        <w:t>6</w:t>
      </w:r>
      <w:r>
        <w:t>，信度较高。</w:t>
      </w:r>
    </w:p>
    <w:p>
      <w:pPr>
        <w:pStyle w:val="23"/>
        <w:ind w:firstLine="640"/>
        <w:outlineLvl w:val="9"/>
      </w:pPr>
      <w:r>
        <w:rPr>
          <w:rFonts w:hint="eastAsia"/>
        </w:rPr>
        <w:t>（二）效度分析</w:t>
      </w:r>
    </w:p>
    <w:p>
      <w:pPr>
        <w:pStyle w:val="23"/>
        <w:ind w:firstLine="640"/>
        <w:outlineLvl w:val="9"/>
      </w:pPr>
      <w:r>
        <w:rPr>
          <w:rFonts w:hint="eastAsia"/>
        </w:rPr>
        <w:t>效度（</w:t>
      </w:r>
      <w:r>
        <w:t>Validity）用于评价量表的准确度、有效性和正确性，即检验问卷是否能简洁、准确地描述抽样数据的属性和特征以及它们之间的复杂关系。本次问卷调查运用相关系数来估算满意度问题的效度。其计算公式为：</w:t>
      </w:r>
    </w:p>
    <w:p>
      <w:pPr>
        <w:outlineLvl w:val="9"/>
      </w:pPr>
    </w:p>
    <w:p>
      <w:pPr>
        <w:pStyle w:val="23"/>
        <w:ind w:firstLine="640"/>
        <w:outlineLvl w:val="9"/>
      </w:pPr>
      <w:r>
        <w:rPr>
          <w:rFonts w:hint="eastAsia"/>
        </w:rPr>
        <w:t>其中，</w:t>
      </w:r>
      <w:r>
        <w:t>表示题目得分偏差</w:t>
      </w:r>
      <w:bookmarkStart w:id="141" w:name="_GoBack"/>
      <w:bookmarkEnd w:id="141"/>
      <w:r>
        <w:t>，表示问卷得分偏差。</w:t>
      </w:r>
    </w:p>
    <w:p>
      <w:pPr>
        <w:pStyle w:val="23"/>
        <w:ind w:firstLine="640"/>
        <w:outlineLvl w:val="9"/>
      </w:pPr>
      <w:r>
        <w:rPr>
          <w:rFonts w:hint="eastAsia"/>
        </w:rPr>
        <w:t>通常，相关系数的值介于</w:t>
      </w:r>
      <w:r>
        <w:t>与之间。即。其中，表示两变量正相关；表示两变量负相关； 表示两变量间不存在线性相关关系；表示两变量为完全线性相关；表示两变量存在一定程度的线性相关，其中为微弱相关，为低度相关，为显著相关，为高度相关。</w:t>
      </w:r>
    </w:p>
    <w:p>
      <w:pPr>
        <w:pStyle w:val="23"/>
        <w:ind w:firstLine="640"/>
        <w:outlineLvl w:val="9"/>
      </w:pPr>
      <w:r>
        <w:rPr>
          <w:rFonts w:hint="eastAsia"/>
        </w:rPr>
        <w:t>调查数据计算结果表明，此次问卷效度较高，因此能够很好地反映的满意程度，有关问卷效度请见附表</w:t>
      </w:r>
      <w:r>
        <w:t>1。</w:t>
      </w:r>
    </w:p>
    <w:p>
      <w:pPr>
        <w:pStyle w:val="26"/>
        <w:outlineLvl w:val="9"/>
        <w:rPr>
          <w:rFonts w:hint="eastAsia"/>
        </w:rPr>
      </w:pPr>
      <w:r>
        <w:rPr>
          <w:rFonts w:hint="eastAsia"/>
        </w:rPr>
        <w:t>附表</w:t>
      </w:r>
      <w:r>
        <w:t xml:space="preserve">1 </w:t>
      </w:r>
      <w:r>
        <w:rPr>
          <w:rFonts w:hint="eastAsia"/>
        </w:rPr>
        <w:t>甘肃省人民代表大会常务委员会办公厅</w:t>
      </w:r>
    </w:p>
    <w:p>
      <w:pPr>
        <w:pStyle w:val="26"/>
        <w:outlineLvl w:val="9"/>
      </w:pPr>
      <w:r>
        <w:rPr>
          <w:rFonts w:hint="eastAsia"/>
        </w:rPr>
        <w:t>单位工作人员</w:t>
      </w:r>
      <w:r>
        <w:t>满意度调查问卷效度汇总</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5"/>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5" w:type="dxa"/>
          </w:tcPr>
          <w:p>
            <w:pPr>
              <w:pStyle w:val="26"/>
              <w:outlineLvl w:val="9"/>
              <w:rPr>
                <w:b/>
                <w:bCs/>
              </w:rPr>
            </w:pPr>
            <w:r>
              <w:rPr>
                <w:rFonts w:hint="eastAsia"/>
                <w:b/>
                <w:bCs/>
              </w:rPr>
              <w:t>题目</w:t>
            </w:r>
          </w:p>
        </w:tc>
        <w:tc>
          <w:tcPr>
            <w:tcW w:w="2631" w:type="dxa"/>
          </w:tcPr>
          <w:p>
            <w:pPr>
              <w:pStyle w:val="26"/>
              <w:outlineLvl w:val="9"/>
              <w:rPr>
                <w:b/>
                <w:bCs/>
              </w:rPr>
            </w:pPr>
            <w:r>
              <w:rPr>
                <w:b/>
                <w:bCs/>
              </w:rPr>
              <w:t>效度得分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5" w:type="dxa"/>
          </w:tcPr>
          <w:p>
            <w:pPr>
              <w:pStyle w:val="26"/>
              <w:outlineLvl w:val="9"/>
              <w:rPr>
                <w:rFonts w:hint="default"/>
                <w:sz w:val="24"/>
                <w:szCs w:val="24"/>
                <w:lang w:val="en-US"/>
              </w:rPr>
            </w:pPr>
            <w:r>
              <w:rPr>
                <w:rFonts w:ascii="Times New Roman" w:hAnsi="Times New Roman" w:eastAsia="仿宋_GB2312" w:cs="Times New Roman"/>
                <w:kern w:val="0"/>
                <w:sz w:val="24"/>
                <w:szCs w:val="24"/>
              </w:rPr>
              <w:t>对</w:t>
            </w:r>
            <w:r>
              <w:rPr>
                <w:rFonts w:hint="eastAsia" w:eastAsia="仿宋_GB2312" w:cs="Times New Roman"/>
                <w:color w:val="auto"/>
                <w:kern w:val="0"/>
                <w:sz w:val="24"/>
                <w:szCs w:val="24"/>
                <w:lang w:val="en-US" w:eastAsia="zh-CN"/>
              </w:rPr>
              <w:t>所在部门/科室的工作氛围的</w:t>
            </w:r>
            <w:r>
              <w:rPr>
                <w:rFonts w:hint="eastAsia" w:cs="Times New Roman"/>
                <w:color w:val="auto"/>
                <w:kern w:val="0"/>
                <w:sz w:val="24"/>
                <w:szCs w:val="24"/>
                <w:lang w:val="en-US" w:eastAsia="zh-CN"/>
              </w:rPr>
              <w:t>满意度</w:t>
            </w:r>
          </w:p>
        </w:tc>
        <w:tc>
          <w:tcPr>
            <w:tcW w:w="2631" w:type="dxa"/>
          </w:tcPr>
          <w:p>
            <w:pPr>
              <w:pStyle w:val="26"/>
              <w:outlineLvl w:val="9"/>
              <w:rPr>
                <w:rFonts w:hint="default" w:eastAsia="仿宋_GB2312"/>
                <w:sz w:val="24"/>
                <w:szCs w:val="24"/>
                <w:lang w:val="en-US" w:eastAsia="zh-CN"/>
              </w:rPr>
            </w:pPr>
            <w:r>
              <w:rPr>
                <w:rFonts w:hint="eastAsia"/>
                <w:sz w:val="24"/>
                <w:szCs w:val="24"/>
                <w:lang w:val="en-US" w:eastAsia="zh-CN"/>
              </w:rPr>
              <w:t>98.02%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5" w:type="dxa"/>
          </w:tcPr>
          <w:p>
            <w:pPr>
              <w:pStyle w:val="26"/>
              <w:outlineLvl w:val="9"/>
              <w:rPr>
                <w:rFonts w:hint="eastAsia" w:eastAsia="仿宋_GB2312"/>
                <w:sz w:val="24"/>
                <w:szCs w:val="24"/>
                <w:lang w:val="en-US" w:eastAsia="zh-CN"/>
              </w:rPr>
            </w:pPr>
            <w:r>
              <w:rPr>
                <w:rFonts w:hint="eastAsia"/>
                <w:sz w:val="24"/>
                <w:szCs w:val="24"/>
              </w:rPr>
              <w:t>对目前工作教育培训的</w:t>
            </w:r>
            <w:r>
              <w:rPr>
                <w:rFonts w:hint="eastAsia"/>
                <w:sz w:val="24"/>
                <w:szCs w:val="24"/>
                <w:lang w:val="en-US" w:eastAsia="zh-CN"/>
              </w:rPr>
              <w:t>满意度</w:t>
            </w:r>
          </w:p>
        </w:tc>
        <w:tc>
          <w:tcPr>
            <w:tcW w:w="2631" w:type="dxa"/>
          </w:tcPr>
          <w:p>
            <w:pPr>
              <w:pStyle w:val="26"/>
              <w:outlineLvl w:val="9"/>
              <w:rPr>
                <w:rFonts w:hint="default" w:eastAsia="仿宋_GB2312"/>
                <w:sz w:val="24"/>
                <w:szCs w:val="24"/>
                <w:lang w:val="en-US" w:eastAsia="zh-CN"/>
              </w:rPr>
            </w:pPr>
            <w:r>
              <w:rPr>
                <w:rFonts w:hint="eastAsia"/>
                <w:sz w:val="24"/>
                <w:szCs w:val="24"/>
                <w:lang w:val="en-US" w:eastAsia="zh-CN"/>
              </w:rPr>
              <w:t>95.04%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5" w:type="dxa"/>
          </w:tcPr>
          <w:p>
            <w:pPr>
              <w:pStyle w:val="26"/>
              <w:outlineLvl w:val="9"/>
              <w:rPr>
                <w:rFonts w:hint="eastAsia" w:eastAsia="仿宋_GB2312"/>
                <w:sz w:val="24"/>
                <w:szCs w:val="24"/>
                <w:lang w:val="en-US" w:eastAsia="zh-CN"/>
              </w:rPr>
            </w:pPr>
            <w:r>
              <w:rPr>
                <w:rFonts w:hint="eastAsia"/>
                <w:sz w:val="24"/>
                <w:szCs w:val="24"/>
              </w:rPr>
              <w:t>对单位年度考核工作的</w:t>
            </w:r>
            <w:r>
              <w:rPr>
                <w:rFonts w:hint="eastAsia"/>
                <w:sz w:val="24"/>
                <w:szCs w:val="24"/>
                <w:lang w:val="en-US" w:eastAsia="zh-CN"/>
              </w:rPr>
              <w:t>满意度</w:t>
            </w:r>
          </w:p>
        </w:tc>
        <w:tc>
          <w:tcPr>
            <w:tcW w:w="2631" w:type="dxa"/>
          </w:tcPr>
          <w:p>
            <w:pPr>
              <w:pStyle w:val="26"/>
              <w:outlineLvl w:val="9"/>
              <w:rPr>
                <w:rFonts w:hint="default" w:eastAsia="仿宋_GB2312"/>
                <w:sz w:val="24"/>
                <w:szCs w:val="24"/>
                <w:lang w:val="en-US" w:eastAsia="zh-CN"/>
              </w:rPr>
            </w:pPr>
            <w:r>
              <w:rPr>
                <w:rFonts w:hint="eastAsia"/>
                <w:sz w:val="24"/>
                <w:szCs w:val="24"/>
                <w:lang w:val="en-US" w:eastAsia="zh-CN"/>
              </w:rPr>
              <w:t>94.01%</w:t>
            </w:r>
          </w:p>
        </w:tc>
      </w:tr>
    </w:tbl>
    <w:p>
      <w:pPr>
        <w:pStyle w:val="23"/>
        <w:ind w:firstLine="640"/>
        <w:outlineLvl w:val="9"/>
      </w:pPr>
      <w:r>
        <w:rPr>
          <w:rFonts w:hint="eastAsia"/>
        </w:rPr>
        <w:t>六、调查结果分析</w:t>
      </w:r>
    </w:p>
    <w:p>
      <w:pPr>
        <w:pStyle w:val="23"/>
        <w:ind w:firstLine="640"/>
        <w:outlineLvl w:val="9"/>
      </w:pPr>
      <w:r>
        <w:rPr>
          <w:rFonts w:hint="eastAsia"/>
        </w:rPr>
        <w:t>（一）基本问题分析</w:t>
      </w:r>
    </w:p>
    <w:p>
      <w:pPr>
        <w:pStyle w:val="23"/>
        <w:ind w:firstLine="640"/>
        <w:outlineLvl w:val="9"/>
      </w:pPr>
      <w:r>
        <w:t>1.单选题</w:t>
      </w:r>
    </w:p>
    <w:p>
      <w:pPr>
        <w:pStyle w:val="23"/>
        <w:ind w:firstLine="640"/>
        <w:outlineLvl w:val="9"/>
      </w:pPr>
      <w:r>
        <w:t>1)您的性别</w:t>
      </w:r>
    </w:p>
    <w:p>
      <w:pPr>
        <w:pStyle w:val="23"/>
        <w:ind w:firstLine="640"/>
        <w:outlineLvl w:val="9"/>
      </w:pPr>
      <w:r>
        <w:rPr>
          <w:rFonts w:hint="eastAsia"/>
        </w:rPr>
        <w:t>在</w:t>
      </w:r>
      <w:r>
        <w:rPr>
          <w:rFonts w:hint="eastAsia"/>
          <w:lang w:val="en-US" w:eastAsia="zh-CN"/>
        </w:rPr>
        <w:t>25</w:t>
      </w:r>
      <w:r>
        <w:t>份有效问卷中，被调查对象中选男的比例为</w:t>
      </w:r>
      <w:r>
        <w:rPr>
          <w:rFonts w:hint="eastAsia"/>
          <w:lang w:val="en-US" w:eastAsia="zh-CN"/>
        </w:rPr>
        <w:t>52。04</w:t>
      </w:r>
      <w:r>
        <w:t>%，选女的比例为</w:t>
      </w:r>
      <w:r>
        <w:rPr>
          <w:rFonts w:hint="eastAsia"/>
          <w:lang w:val="en-US" w:eastAsia="zh-CN"/>
        </w:rPr>
        <w:t>47.96</w:t>
      </w:r>
      <w:r>
        <w:t>%。</w:t>
      </w:r>
    </w:p>
    <w:p>
      <w:pPr>
        <w:pStyle w:val="23"/>
        <w:ind w:firstLine="640"/>
        <w:outlineLvl w:val="9"/>
      </w:pPr>
      <w:r>
        <w:rPr>
          <w:rFonts w:hint="eastAsia"/>
          <w:lang w:val="en-US" w:eastAsia="zh-CN"/>
        </w:rPr>
        <w:t>2</w:t>
      </w:r>
      <w:r>
        <w:t>)您的年龄</w:t>
      </w:r>
    </w:p>
    <w:p>
      <w:pPr>
        <w:pStyle w:val="23"/>
        <w:ind w:firstLine="640"/>
        <w:outlineLvl w:val="9"/>
        <w:rPr>
          <w:color w:val="auto"/>
        </w:rPr>
      </w:pPr>
      <w:r>
        <w:rPr>
          <w:rFonts w:hint="eastAsia"/>
          <w:color w:val="auto"/>
        </w:rPr>
        <w:t>在</w:t>
      </w:r>
      <w:r>
        <w:rPr>
          <w:rFonts w:hint="eastAsia"/>
          <w:color w:val="auto"/>
          <w:lang w:val="en-US" w:eastAsia="zh-CN"/>
        </w:rPr>
        <w:t>25</w:t>
      </w:r>
      <w:r>
        <w:rPr>
          <w:color w:val="auto"/>
        </w:rPr>
        <w:t>份有效问卷中，被调查对象中选</w:t>
      </w:r>
      <w:r>
        <w:rPr>
          <w:rFonts w:hint="eastAsia"/>
          <w:color w:val="auto"/>
          <w:lang w:val="en-US" w:eastAsia="zh-CN"/>
        </w:rPr>
        <w:t>30</w:t>
      </w:r>
      <w:r>
        <w:rPr>
          <w:color w:val="auto"/>
        </w:rPr>
        <w:t>岁及以下的比例为15.75%，选</w:t>
      </w:r>
      <w:r>
        <w:rPr>
          <w:rFonts w:hint="eastAsia"/>
          <w:color w:val="auto"/>
          <w:lang w:val="en-US" w:eastAsia="zh-CN"/>
        </w:rPr>
        <w:t>31</w:t>
      </w:r>
      <w:r>
        <w:rPr>
          <w:color w:val="auto"/>
        </w:rPr>
        <w:t>-</w:t>
      </w:r>
      <w:r>
        <w:rPr>
          <w:rFonts w:hint="eastAsia"/>
          <w:color w:val="auto"/>
          <w:lang w:val="en-US" w:eastAsia="zh-CN"/>
        </w:rPr>
        <w:t>40</w:t>
      </w:r>
      <w:r>
        <w:rPr>
          <w:color w:val="auto"/>
        </w:rPr>
        <w:t>岁的比例为52.21%，选</w:t>
      </w:r>
      <w:r>
        <w:rPr>
          <w:rFonts w:hint="eastAsia"/>
          <w:color w:val="auto"/>
          <w:lang w:val="en-US" w:eastAsia="zh-CN"/>
        </w:rPr>
        <w:t>40-50</w:t>
      </w:r>
      <w:r>
        <w:rPr>
          <w:color w:val="auto"/>
        </w:rPr>
        <w:t>岁的比例为20.65%，选</w:t>
      </w:r>
      <w:r>
        <w:rPr>
          <w:rFonts w:hint="eastAsia"/>
          <w:color w:val="auto"/>
          <w:lang w:val="en-US" w:eastAsia="zh-CN"/>
        </w:rPr>
        <w:t>50</w:t>
      </w:r>
      <w:r>
        <w:rPr>
          <w:color w:val="auto"/>
        </w:rPr>
        <w:t>岁及以上的比例为11.39%。</w:t>
      </w:r>
    </w:p>
    <w:p>
      <w:pPr>
        <w:pStyle w:val="23"/>
        <w:ind w:firstLine="640"/>
        <w:outlineLvl w:val="9"/>
      </w:pPr>
      <w:r>
        <w:rPr>
          <w:rFonts w:hint="eastAsia"/>
          <w:lang w:val="en-US" w:eastAsia="zh-CN"/>
        </w:rPr>
        <w:t>3</w:t>
      </w:r>
      <w:r>
        <w:t>)</w:t>
      </w:r>
      <w:r>
        <w:tab/>
      </w:r>
      <w:r>
        <w:rPr>
          <w:rFonts w:hint="eastAsia"/>
          <w:lang w:val="en-US" w:eastAsia="zh-CN"/>
        </w:rPr>
        <w:t>您在本单位的工作时长</w:t>
      </w:r>
    </w:p>
    <w:p>
      <w:pPr>
        <w:pStyle w:val="23"/>
        <w:ind w:firstLine="640"/>
        <w:outlineLvl w:val="9"/>
        <w:rPr>
          <w:color w:val="auto"/>
        </w:rPr>
      </w:pPr>
      <w:r>
        <w:rPr>
          <w:rFonts w:hint="eastAsia"/>
        </w:rPr>
        <w:t>在</w:t>
      </w:r>
      <w:r>
        <w:rPr>
          <w:rFonts w:hint="eastAsia"/>
          <w:lang w:val="en-US" w:eastAsia="zh-CN"/>
        </w:rPr>
        <w:t>25</w:t>
      </w:r>
      <w:r>
        <w:t>份有效问卷中，</w:t>
      </w:r>
      <w:r>
        <w:rPr>
          <w:color w:val="auto"/>
        </w:rPr>
        <w:t>被调查对象中选</w:t>
      </w:r>
      <w:r>
        <w:rPr>
          <w:rFonts w:hint="eastAsia"/>
          <w:color w:val="auto"/>
          <w:lang w:val="en-US" w:eastAsia="zh-CN"/>
        </w:rPr>
        <w:t>1-5年</w:t>
      </w:r>
      <w:r>
        <w:rPr>
          <w:color w:val="auto"/>
        </w:rPr>
        <w:t>的比例为</w:t>
      </w:r>
      <w:r>
        <w:rPr>
          <w:rFonts w:hint="eastAsia"/>
          <w:color w:val="auto"/>
          <w:lang w:val="en-US" w:eastAsia="zh-CN"/>
        </w:rPr>
        <w:t>20.12</w:t>
      </w:r>
      <w:r>
        <w:rPr>
          <w:color w:val="auto"/>
        </w:rPr>
        <w:t>%，选</w:t>
      </w:r>
      <w:r>
        <w:rPr>
          <w:rFonts w:hint="eastAsia"/>
          <w:color w:val="auto"/>
          <w:lang w:val="en-US" w:eastAsia="zh-CN"/>
        </w:rPr>
        <w:t>6-10年</w:t>
      </w:r>
      <w:r>
        <w:rPr>
          <w:color w:val="auto"/>
        </w:rPr>
        <w:t>的比例为</w:t>
      </w:r>
      <w:r>
        <w:rPr>
          <w:rFonts w:hint="eastAsia"/>
          <w:color w:val="auto"/>
          <w:lang w:val="en-US" w:eastAsia="zh-CN"/>
        </w:rPr>
        <w:t>34.65</w:t>
      </w:r>
      <w:r>
        <w:rPr>
          <w:color w:val="auto"/>
        </w:rPr>
        <w:t>%，选</w:t>
      </w:r>
      <w:r>
        <w:rPr>
          <w:rFonts w:hint="eastAsia"/>
          <w:color w:val="auto"/>
          <w:lang w:val="en-US" w:eastAsia="zh-CN"/>
        </w:rPr>
        <w:t>11-15年</w:t>
      </w:r>
      <w:r>
        <w:rPr>
          <w:color w:val="auto"/>
        </w:rPr>
        <w:t>的比例为</w:t>
      </w:r>
      <w:r>
        <w:rPr>
          <w:rFonts w:hint="eastAsia"/>
          <w:color w:val="auto"/>
          <w:lang w:val="en-US" w:eastAsia="zh-CN"/>
        </w:rPr>
        <w:t>33.21</w:t>
      </w:r>
      <w:r>
        <w:rPr>
          <w:color w:val="auto"/>
        </w:rPr>
        <w:t>%，选</w:t>
      </w:r>
      <w:r>
        <w:rPr>
          <w:rFonts w:hint="eastAsia"/>
          <w:color w:val="auto"/>
          <w:lang w:val="en-US" w:eastAsia="zh-CN"/>
        </w:rPr>
        <w:t>15年</w:t>
      </w:r>
      <w:r>
        <w:rPr>
          <w:color w:val="auto"/>
        </w:rPr>
        <w:t>以上的比例为</w:t>
      </w:r>
      <w:r>
        <w:rPr>
          <w:rFonts w:hint="eastAsia"/>
          <w:color w:val="auto"/>
          <w:lang w:val="en-US" w:eastAsia="zh-CN"/>
        </w:rPr>
        <w:t>12.02</w:t>
      </w:r>
      <w:r>
        <w:rPr>
          <w:color w:val="auto"/>
        </w:rPr>
        <w:t>%。</w:t>
      </w:r>
    </w:p>
    <w:p>
      <w:pPr>
        <w:pStyle w:val="23"/>
        <w:ind w:firstLine="640"/>
        <w:outlineLvl w:val="9"/>
      </w:pPr>
      <w:r>
        <w:rPr>
          <w:rFonts w:hint="eastAsia"/>
          <w:lang w:val="en-US" w:eastAsia="zh-CN"/>
        </w:rPr>
        <w:t>4</w:t>
      </w:r>
      <w:r>
        <w:t>)</w:t>
      </w:r>
      <w:r>
        <w:tab/>
      </w:r>
      <w:r>
        <w:rPr>
          <w:rFonts w:hint="eastAsia"/>
        </w:rPr>
        <w:t>您对单位的各项管理制度是否满意</w:t>
      </w:r>
      <w:r>
        <w:t>？</w:t>
      </w:r>
    </w:p>
    <w:p>
      <w:pPr>
        <w:pStyle w:val="23"/>
        <w:ind w:firstLine="640"/>
        <w:outlineLvl w:val="9"/>
      </w:pPr>
      <w:r>
        <w:rPr>
          <w:rFonts w:hint="eastAsia"/>
        </w:rPr>
        <w:t>在</w:t>
      </w:r>
      <w:r>
        <w:rPr>
          <w:rFonts w:hint="eastAsia"/>
          <w:lang w:val="en-US" w:eastAsia="zh-CN"/>
        </w:rPr>
        <w:t>25</w:t>
      </w:r>
      <w:r>
        <w:t>份有效问卷中，被调查对象中选</w:t>
      </w:r>
      <w:r>
        <w:rPr>
          <w:rFonts w:hint="eastAsia"/>
          <w:lang w:val="en-US" w:eastAsia="zh-CN"/>
        </w:rPr>
        <w:t>是</w:t>
      </w:r>
      <w:r>
        <w:t>的比例为</w:t>
      </w:r>
      <w:r>
        <w:rPr>
          <w:rFonts w:hint="eastAsia"/>
          <w:lang w:val="en-US" w:eastAsia="zh-CN"/>
        </w:rPr>
        <w:t>98</w:t>
      </w:r>
      <w:r>
        <w:t>.12%，选</w:t>
      </w:r>
      <w:r>
        <w:rPr>
          <w:rFonts w:hint="eastAsia"/>
          <w:lang w:val="en-US" w:eastAsia="zh-CN"/>
        </w:rPr>
        <w:t>否的</w:t>
      </w:r>
      <w:r>
        <w:t>比例为</w:t>
      </w:r>
      <w:r>
        <w:rPr>
          <w:rFonts w:hint="eastAsia"/>
          <w:lang w:val="en-US" w:eastAsia="zh-CN"/>
        </w:rPr>
        <w:t>1.88</w:t>
      </w:r>
      <w:r>
        <w:t>%。</w:t>
      </w:r>
    </w:p>
    <w:p>
      <w:pPr>
        <w:pStyle w:val="23"/>
        <w:ind w:firstLine="640"/>
        <w:outlineLvl w:val="9"/>
      </w:pPr>
      <w:r>
        <w:rPr>
          <w:rFonts w:hint="eastAsia"/>
          <w:lang w:val="en-US" w:eastAsia="zh-CN"/>
        </w:rPr>
        <w:t>5</w:t>
      </w:r>
      <w:r>
        <w:t>)</w:t>
      </w:r>
      <w:r>
        <w:tab/>
      </w:r>
      <w:r>
        <w:rPr>
          <w:rFonts w:hint="eastAsia"/>
        </w:rPr>
        <w:t>您对本岗位的工作计划安排是否满意</w:t>
      </w:r>
      <w:r>
        <w:t>？</w:t>
      </w:r>
    </w:p>
    <w:p>
      <w:pPr>
        <w:pStyle w:val="23"/>
        <w:ind w:firstLine="640"/>
        <w:outlineLvl w:val="9"/>
      </w:pPr>
      <w:r>
        <w:rPr>
          <w:rFonts w:hint="eastAsia"/>
        </w:rPr>
        <w:t>在</w:t>
      </w:r>
      <w:r>
        <w:t>2</w:t>
      </w:r>
      <w:r>
        <w:rPr>
          <w:rFonts w:hint="eastAsia"/>
          <w:lang w:val="en-US" w:eastAsia="zh-CN"/>
        </w:rPr>
        <w:t>5</w:t>
      </w:r>
      <w:r>
        <w:t>份有效问卷中，被调查对象中选是的比例为95.50%，选否的比例为4.50%。</w:t>
      </w:r>
    </w:p>
    <w:p>
      <w:pPr>
        <w:pStyle w:val="23"/>
        <w:ind w:firstLine="640"/>
        <w:outlineLvl w:val="9"/>
      </w:pPr>
      <w:r>
        <w:rPr>
          <w:rFonts w:hint="eastAsia"/>
          <w:lang w:val="en-US" w:eastAsia="zh-CN"/>
        </w:rPr>
        <w:t>6</w:t>
      </w:r>
      <w:r>
        <w:t>)</w:t>
      </w:r>
      <w:r>
        <w:tab/>
      </w:r>
      <w:r>
        <w:rPr>
          <w:rFonts w:hint="eastAsia"/>
        </w:rPr>
        <w:t>您对自己或者周围同事的工作效率是否满意</w:t>
      </w:r>
      <w:r>
        <w:t>？</w:t>
      </w:r>
    </w:p>
    <w:p>
      <w:pPr>
        <w:pStyle w:val="23"/>
        <w:ind w:firstLine="640"/>
        <w:outlineLvl w:val="9"/>
      </w:pPr>
      <w:r>
        <w:rPr>
          <w:rFonts w:hint="eastAsia"/>
        </w:rPr>
        <w:t>在</w:t>
      </w:r>
      <w:r>
        <w:rPr>
          <w:rFonts w:hint="eastAsia"/>
          <w:lang w:val="en-US" w:eastAsia="zh-CN"/>
        </w:rPr>
        <w:t>25</w:t>
      </w:r>
      <w:r>
        <w:t>份有效问卷中，被调查对象中选是的比例为93.20%，选否的比例为6.80%。</w:t>
      </w:r>
    </w:p>
    <w:p>
      <w:pPr>
        <w:pStyle w:val="23"/>
        <w:ind w:firstLine="640"/>
        <w:outlineLvl w:val="9"/>
      </w:pPr>
      <w:r>
        <w:rPr>
          <w:rFonts w:hint="eastAsia"/>
          <w:lang w:val="en-US" w:eastAsia="zh-CN"/>
        </w:rPr>
        <w:t>7</w:t>
      </w:r>
      <w:r>
        <w:t>)</w:t>
      </w:r>
      <w:r>
        <w:tab/>
      </w:r>
      <w:r>
        <w:rPr>
          <w:rFonts w:hint="eastAsia"/>
        </w:rPr>
        <w:t>您对各部门同事之间的配合是否满意</w:t>
      </w:r>
      <w:r>
        <w:t>？</w:t>
      </w:r>
    </w:p>
    <w:p>
      <w:pPr>
        <w:pStyle w:val="23"/>
        <w:ind w:firstLine="640"/>
        <w:outlineLvl w:val="9"/>
      </w:pPr>
      <w:r>
        <w:rPr>
          <w:rFonts w:hint="eastAsia"/>
        </w:rPr>
        <w:t>在</w:t>
      </w:r>
      <w:r>
        <w:rPr>
          <w:rFonts w:hint="eastAsia"/>
          <w:lang w:val="en-US" w:eastAsia="zh-CN"/>
        </w:rPr>
        <w:t>25</w:t>
      </w:r>
      <w:r>
        <w:t>份有效问卷中，被调查对象中选是的比例为92.55%，选否的比例为7.45%。</w:t>
      </w:r>
    </w:p>
    <w:p>
      <w:pPr>
        <w:pStyle w:val="23"/>
        <w:ind w:firstLine="640"/>
        <w:outlineLvl w:val="9"/>
      </w:pPr>
      <w:r>
        <w:rPr>
          <w:rFonts w:hint="eastAsia"/>
          <w:lang w:val="en-US" w:eastAsia="zh-CN"/>
        </w:rPr>
        <w:t>8</w:t>
      </w:r>
      <w:r>
        <w:t>)</w:t>
      </w:r>
      <w:r>
        <w:tab/>
      </w:r>
      <w:r>
        <w:rPr>
          <w:rFonts w:hint="eastAsia"/>
        </w:rPr>
        <w:t>您对单位的工作环境是否满意</w:t>
      </w:r>
      <w:r>
        <w:t>？</w:t>
      </w:r>
    </w:p>
    <w:p>
      <w:pPr>
        <w:pStyle w:val="23"/>
        <w:ind w:firstLine="640"/>
        <w:outlineLvl w:val="9"/>
      </w:pPr>
      <w:r>
        <w:rPr>
          <w:rFonts w:hint="eastAsia"/>
        </w:rPr>
        <w:t>在</w:t>
      </w:r>
      <w:r>
        <w:rPr>
          <w:rFonts w:hint="eastAsia"/>
          <w:lang w:val="en-US" w:eastAsia="zh-CN"/>
        </w:rPr>
        <w:t>25</w:t>
      </w:r>
      <w:r>
        <w:t>份有效问卷中，被调查对象中选是的比例为9</w:t>
      </w:r>
      <w:r>
        <w:rPr>
          <w:rFonts w:hint="eastAsia"/>
          <w:lang w:val="en-US" w:eastAsia="zh-CN"/>
        </w:rPr>
        <w:t>9.12</w:t>
      </w:r>
      <w:r>
        <w:t>%，选否的比例为</w:t>
      </w:r>
      <w:r>
        <w:rPr>
          <w:rFonts w:hint="eastAsia"/>
          <w:lang w:val="en-US" w:eastAsia="zh-CN"/>
        </w:rPr>
        <w:t>0.88</w:t>
      </w:r>
      <w:r>
        <w:t>%。</w:t>
      </w:r>
    </w:p>
    <w:p>
      <w:pPr>
        <w:pStyle w:val="23"/>
        <w:ind w:firstLine="640"/>
        <w:outlineLvl w:val="9"/>
      </w:pPr>
      <w:r>
        <w:rPr>
          <w:rFonts w:hint="eastAsia"/>
          <w:lang w:val="en-US" w:eastAsia="zh-CN"/>
        </w:rPr>
        <w:t>9</w:t>
      </w:r>
      <w:r>
        <w:t>)</w:t>
      </w:r>
      <w:r>
        <w:tab/>
      </w:r>
      <w:r>
        <w:rPr>
          <w:rFonts w:hint="eastAsia"/>
        </w:rPr>
        <w:t>你认为单位相关的培训工作是否达到了所计划的效益</w:t>
      </w:r>
      <w:r>
        <w:t>？</w:t>
      </w:r>
    </w:p>
    <w:p>
      <w:pPr>
        <w:pStyle w:val="23"/>
        <w:ind w:firstLine="640"/>
        <w:outlineLvl w:val="9"/>
      </w:pPr>
      <w:r>
        <w:rPr>
          <w:rFonts w:hint="eastAsia"/>
        </w:rPr>
        <w:t>在</w:t>
      </w:r>
      <w:r>
        <w:rPr>
          <w:rFonts w:hint="eastAsia"/>
          <w:lang w:val="en-US" w:eastAsia="zh-CN"/>
        </w:rPr>
        <w:t>25</w:t>
      </w:r>
      <w:r>
        <w:t>份有效问卷中，被调查对象中选是的比例为9</w:t>
      </w:r>
      <w:r>
        <w:rPr>
          <w:rFonts w:hint="eastAsia"/>
          <w:lang w:val="en-US" w:eastAsia="zh-CN"/>
        </w:rPr>
        <w:t>6.35</w:t>
      </w:r>
      <w:r>
        <w:t>%，选否的比例为</w:t>
      </w:r>
      <w:r>
        <w:rPr>
          <w:rFonts w:hint="eastAsia"/>
          <w:lang w:val="en-US" w:eastAsia="zh-CN"/>
        </w:rPr>
        <w:t>3.75</w:t>
      </w:r>
      <w:r>
        <w:t>%。</w:t>
      </w:r>
    </w:p>
    <w:p>
      <w:pPr>
        <w:pStyle w:val="23"/>
        <w:ind w:firstLine="640"/>
        <w:outlineLvl w:val="9"/>
      </w:pPr>
      <w:r>
        <w:t>2.满意度题</w:t>
      </w:r>
    </w:p>
    <w:p>
      <w:pPr>
        <w:pStyle w:val="23"/>
        <w:ind w:firstLine="640"/>
        <w:outlineLvl w:val="9"/>
      </w:pPr>
      <w:r>
        <w:rPr>
          <w:rFonts w:hint="eastAsia"/>
        </w:rPr>
        <w:t>根据问卷调查结果显示，受益对象的整体满意程度为</w:t>
      </w:r>
      <w:r>
        <w:rPr>
          <w:rFonts w:hint="eastAsia"/>
          <w:lang w:val="en-US" w:eastAsia="zh-CN"/>
        </w:rPr>
        <w:t>95%</w:t>
      </w:r>
      <w:r>
        <w:t>，满意度水平较高。</w:t>
      </w:r>
    </w:p>
    <w:p>
      <w:pPr>
        <w:pStyle w:val="23"/>
        <w:ind w:firstLine="640"/>
        <w:outlineLvl w:val="9"/>
        <w:rPr>
          <w:color w:val="auto"/>
        </w:rPr>
      </w:pPr>
      <w:r>
        <w:rPr>
          <w:rFonts w:hint="eastAsia"/>
        </w:rPr>
        <w:t>调查对象对问题按照满意度评分由高到低排序依次为：</w:t>
      </w:r>
      <w:r>
        <w:rPr>
          <w:rFonts w:hint="eastAsia"/>
          <w:color w:val="auto"/>
        </w:rPr>
        <w:t>您对所在部门/科室的工作氛围的评价</w:t>
      </w:r>
      <w:r>
        <w:rPr>
          <w:color w:val="auto"/>
        </w:rPr>
        <w:t>(98</w:t>
      </w:r>
      <w:r>
        <w:rPr>
          <w:rFonts w:hint="eastAsia"/>
          <w:color w:val="auto"/>
          <w:lang w:val="en-US" w:eastAsia="zh-CN"/>
        </w:rPr>
        <w:t>.02</w:t>
      </w:r>
      <w:r>
        <w:rPr>
          <w:color w:val="auto"/>
        </w:rPr>
        <w:t>%)、</w:t>
      </w:r>
      <w:r>
        <w:rPr>
          <w:rFonts w:hint="eastAsia"/>
          <w:color w:val="auto"/>
        </w:rPr>
        <w:t>您对目前工作教育培训的的评价</w:t>
      </w:r>
      <w:r>
        <w:rPr>
          <w:color w:val="auto"/>
        </w:rPr>
        <w:t>(9</w:t>
      </w:r>
      <w:r>
        <w:rPr>
          <w:rFonts w:hint="eastAsia"/>
          <w:color w:val="auto"/>
          <w:lang w:val="en-US" w:eastAsia="zh-CN"/>
        </w:rPr>
        <w:t>5.04</w:t>
      </w:r>
      <w:r>
        <w:rPr>
          <w:color w:val="auto"/>
        </w:rPr>
        <w:t>%)、</w:t>
      </w:r>
      <w:r>
        <w:rPr>
          <w:rFonts w:hint="eastAsia"/>
          <w:color w:val="auto"/>
        </w:rPr>
        <w:t>您对单位年度考核工作的评价</w:t>
      </w:r>
      <w:r>
        <w:rPr>
          <w:color w:val="auto"/>
        </w:rPr>
        <w:t>(9</w:t>
      </w:r>
      <w:r>
        <w:rPr>
          <w:rFonts w:hint="eastAsia"/>
          <w:color w:val="auto"/>
          <w:lang w:val="en-US" w:eastAsia="zh-CN"/>
        </w:rPr>
        <w:t>4.01</w:t>
      </w:r>
      <w:r>
        <w:rPr>
          <w:color w:val="auto"/>
        </w:rPr>
        <w:t>%)。</w:t>
      </w:r>
    </w:p>
    <w:p>
      <w:pPr>
        <w:pStyle w:val="23"/>
        <w:ind w:firstLine="640"/>
        <w:outlineLvl w:val="9"/>
      </w:pPr>
      <w:r>
        <w:t>3.意见与建议</w:t>
      </w:r>
    </w:p>
    <w:p>
      <w:pPr>
        <w:pStyle w:val="23"/>
        <w:ind w:firstLine="640"/>
        <w:outlineLvl w:val="9"/>
      </w:pPr>
      <w:r>
        <w:rPr>
          <w:rFonts w:hint="eastAsia"/>
        </w:rPr>
        <w:t>无</w:t>
      </w:r>
    </w:p>
    <w:p>
      <w:pPr>
        <w:pStyle w:val="23"/>
        <w:ind w:firstLine="640"/>
        <w:outlineLvl w:val="9"/>
      </w:pPr>
    </w:p>
    <w:p>
      <w:pPr>
        <w:rPr>
          <w:rFonts w:hint="eastAsia"/>
          <w:lang w:val="en-US" w:eastAsia="zh-CN"/>
        </w:rPr>
      </w:pPr>
      <w:r>
        <w:rPr>
          <w:rFonts w:hint="eastAsia"/>
          <w:lang w:val="en-US" w:eastAsia="zh-CN"/>
        </w:rPr>
        <w:br w:type="page"/>
      </w:r>
    </w:p>
    <w:p>
      <w:pPr>
        <w:outlineLvl w:val="0"/>
        <w:rPr>
          <w:rFonts w:hint="default" w:ascii="Times New Roman" w:hAnsi="Times New Roman" w:eastAsia="仿宋_GB2312" w:cs="仿宋_GB2312"/>
          <w:b/>
          <w:bCs/>
          <w:sz w:val="32"/>
          <w:szCs w:val="32"/>
          <w:lang w:val="en-US" w:eastAsia="zh-CN"/>
        </w:rPr>
      </w:pPr>
      <w:bookmarkStart w:id="129" w:name="_Toc11012"/>
      <w:bookmarkStart w:id="130" w:name="_Toc19846"/>
      <w:r>
        <w:rPr>
          <w:rFonts w:hint="eastAsia" w:ascii="Times New Roman" w:hAnsi="Times New Roman" w:eastAsia="仿宋_GB2312" w:cs="仿宋_GB2312"/>
          <w:b/>
          <w:bCs/>
          <w:sz w:val="32"/>
          <w:szCs w:val="32"/>
          <w:lang w:val="en-US" w:eastAsia="zh-CN"/>
        </w:rPr>
        <w:t>附件3 访谈及调研工作制度</w:t>
      </w:r>
      <w:bookmarkEnd w:id="129"/>
      <w:bookmarkEnd w:id="130"/>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1. </w:t>
      </w:r>
      <w:r>
        <w:rPr>
          <w:rFonts w:hint="eastAsia" w:ascii="Times New Roman" w:hAnsi="Times New Roman" w:eastAsia="仿宋_GB2312" w:cs="华文仿宋"/>
          <w:sz w:val="32"/>
          <w:szCs w:val="32"/>
        </w:rPr>
        <w:t>访谈方案</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① </w:t>
      </w:r>
      <w:r>
        <w:rPr>
          <w:rFonts w:hint="eastAsia" w:ascii="Times New Roman" w:hAnsi="Times New Roman" w:eastAsia="仿宋_GB2312" w:cs="华文仿宋"/>
          <w:sz w:val="32"/>
          <w:szCs w:val="32"/>
        </w:rPr>
        <w:t>访谈对象、目的和内容</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A、访谈对象</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包括</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管理的相关领导或工作人员和项目具体实施人员。</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B、访谈目的</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本次绩效评价旨在通过访谈</w:t>
      </w:r>
      <w:r>
        <w:rPr>
          <w:rFonts w:hint="eastAsia" w:ascii="Times New Roman" w:hAnsi="Times New Roman" w:eastAsia="仿宋_GB2312" w:cs="华文仿宋"/>
          <w:sz w:val="32"/>
          <w:szCs w:val="32"/>
          <w:lang w:eastAsia="zh-CN"/>
        </w:rPr>
        <w:t>评价该部门资金</w:t>
      </w:r>
      <w:r>
        <w:rPr>
          <w:rFonts w:hint="eastAsia" w:ascii="Times New Roman" w:hAnsi="Times New Roman" w:eastAsia="仿宋_GB2312" w:cs="华文仿宋"/>
          <w:sz w:val="32"/>
          <w:szCs w:val="32"/>
        </w:rPr>
        <w:t>使用的效率和效益，发现项目设计和管理中的问题，进而为</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项目的实施与调整建言献策。</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C、访谈内容</w:t>
      </w:r>
    </w:p>
    <w:p>
      <w:pPr>
        <w:pStyle w:val="16"/>
        <w:keepNext w:val="0"/>
        <w:keepLines w:val="0"/>
        <w:pageBreakBefore w:val="0"/>
        <w:numPr>
          <w:ilvl w:val="0"/>
          <w:numId w:val="0"/>
        </w:numPr>
        <w:tabs>
          <w:tab w:val="left" w:pos="1241"/>
          <w:tab w:val="clear" w:pos="312"/>
        </w:tabs>
        <w:kinsoku/>
        <w:wordWrap/>
        <w:overflowPunct/>
        <w:topLinePunct w:val="0"/>
        <w:autoSpaceDE w:val="0"/>
        <w:autoSpaceDN w:val="0"/>
        <w:bidi w:val="0"/>
        <w:adjustRightInd/>
        <w:snapToGrid/>
        <w:spacing w:before="0" w:after="0" w:line="600" w:lineRule="exact"/>
        <w:ind w:right="0" w:rightChars="0" w:firstLine="640" w:firstLineChars="200"/>
        <w:jc w:val="left"/>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① </w:t>
      </w:r>
      <w:r>
        <w:rPr>
          <w:rFonts w:hint="eastAsia" w:ascii="Times New Roman" w:hAnsi="Times New Roman" w:eastAsia="仿宋_GB2312" w:cs="华文仿宋"/>
          <w:sz w:val="32"/>
          <w:szCs w:val="32"/>
        </w:rPr>
        <w:t>项目资金决策过程、预算编制、项目管理人员组成</w:t>
      </w:r>
      <w:r>
        <w:rPr>
          <w:rFonts w:hint="eastAsia" w:ascii="Times New Roman" w:hAnsi="Times New Roman" w:eastAsia="仿宋_GB2312" w:cs="华文仿宋"/>
          <w:spacing w:val="-4"/>
          <w:sz w:val="32"/>
          <w:szCs w:val="32"/>
        </w:rPr>
        <w:t>结构、项目实施管理的实际开展情况、财务监控、资金使用等方面的实际情况、经验、困难及建议。</w:t>
      </w:r>
    </w:p>
    <w:p>
      <w:pPr>
        <w:pStyle w:val="16"/>
        <w:keepNext w:val="0"/>
        <w:keepLines w:val="0"/>
        <w:pageBreakBefore w:val="0"/>
        <w:numPr>
          <w:ilvl w:val="0"/>
          <w:numId w:val="0"/>
        </w:numPr>
        <w:tabs>
          <w:tab w:val="left" w:pos="1241"/>
          <w:tab w:val="clear" w:pos="312"/>
        </w:tabs>
        <w:kinsoku/>
        <w:wordWrap/>
        <w:overflowPunct/>
        <w:topLinePunct w:val="0"/>
        <w:autoSpaceDE w:val="0"/>
        <w:autoSpaceDN w:val="0"/>
        <w:bidi w:val="0"/>
        <w:adjustRightInd/>
        <w:snapToGrid/>
        <w:spacing w:before="0" w:after="0" w:line="600" w:lineRule="exact"/>
        <w:ind w:right="0" w:rightChars="0" w:firstLine="636" w:firstLineChars="200"/>
        <w:jc w:val="left"/>
        <w:rPr>
          <w:rFonts w:hint="eastAsia" w:ascii="Times New Roman" w:hAnsi="Times New Roman" w:eastAsia="仿宋_GB2312" w:cs="华文仿宋"/>
          <w:sz w:val="32"/>
          <w:szCs w:val="32"/>
        </w:rPr>
      </w:pPr>
      <w:r>
        <w:rPr>
          <w:rFonts w:hint="eastAsia" w:ascii="Times New Roman" w:hAnsi="Times New Roman" w:eastAsia="仿宋_GB2312" w:cs="华文仿宋"/>
          <w:spacing w:val="-1"/>
          <w:sz w:val="32"/>
          <w:szCs w:val="32"/>
          <w:lang w:val="en-US" w:eastAsia="zh-CN"/>
        </w:rPr>
        <w:t xml:space="preserve">② </w:t>
      </w:r>
      <w:r>
        <w:rPr>
          <w:rFonts w:hint="eastAsia" w:ascii="Times New Roman" w:hAnsi="Times New Roman" w:eastAsia="仿宋_GB2312" w:cs="华文仿宋"/>
          <w:spacing w:val="-1"/>
          <w:sz w:val="32"/>
          <w:szCs w:val="32"/>
        </w:rPr>
        <w:t>项目具体实施人员对于项目实施情况、遇到的困难、</w:t>
      </w:r>
      <w:r>
        <w:rPr>
          <w:rFonts w:hint="eastAsia" w:ascii="Times New Roman" w:hAnsi="Times New Roman" w:eastAsia="仿宋_GB2312" w:cs="华文仿宋"/>
          <w:spacing w:val="-3"/>
          <w:sz w:val="32"/>
          <w:szCs w:val="32"/>
        </w:rPr>
        <w:t>管理过程中发生的问题采取的解决办法、涉及的问题，项目</w:t>
      </w:r>
      <w:r>
        <w:rPr>
          <w:rFonts w:hint="eastAsia" w:ascii="Times New Roman" w:hAnsi="Times New Roman" w:eastAsia="仿宋_GB2312" w:cs="华文仿宋"/>
          <w:spacing w:val="-5"/>
          <w:sz w:val="32"/>
          <w:szCs w:val="32"/>
        </w:rPr>
        <w:t>实施后与实施前在管理水平、满意度等方面发生的变化、产生的效果，对项目及实施过程中的意见和建议。</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2</w:t>
      </w: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访谈方式</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我</w:t>
      </w:r>
      <w:r>
        <w:rPr>
          <w:rFonts w:hint="eastAsia" w:ascii="Times New Roman" w:hAnsi="Times New Roman" w:eastAsia="仿宋_GB2312" w:cs="华文仿宋"/>
          <w:sz w:val="32"/>
          <w:szCs w:val="32"/>
        </w:rPr>
        <w:t>们将提前与</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 xml:space="preserve">项目的相关领导或工作 </w:t>
      </w:r>
      <w:r>
        <w:rPr>
          <w:rFonts w:hint="eastAsia" w:ascii="Times New Roman" w:hAnsi="Times New Roman" w:eastAsia="仿宋_GB2312" w:cs="华文仿宋"/>
          <w:spacing w:val="-2"/>
          <w:w w:val="95"/>
          <w:sz w:val="32"/>
          <w:szCs w:val="32"/>
        </w:rPr>
        <w:t xml:space="preserve">人员预约，由评价小组提供访谈提纲，尽量采取上门访谈的 </w:t>
      </w:r>
      <w:r>
        <w:rPr>
          <w:rFonts w:hint="eastAsia" w:ascii="Times New Roman" w:hAnsi="Times New Roman" w:eastAsia="仿宋_GB2312" w:cs="华文仿宋"/>
          <w:spacing w:val="-4"/>
          <w:sz w:val="32"/>
          <w:szCs w:val="32"/>
        </w:rPr>
        <w:t>方式，如果上门访谈难以进行，则将采取电话访谈等其他的</w:t>
      </w:r>
      <w:r>
        <w:rPr>
          <w:rFonts w:hint="eastAsia" w:ascii="Times New Roman" w:hAnsi="Times New Roman" w:eastAsia="仿宋_GB2312" w:cs="华文仿宋"/>
          <w:spacing w:val="-5"/>
          <w:sz w:val="32"/>
          <w:szCs w:val="32"/>
        </w:rPr>
        <w:t>方式。访谈对象包括与项目相关的领导、工作人员等，主要采取座谈会的方式。</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08" w:firstLineChars="200"/>
        <w:rPr>
          <w:rFonts w:hint="eastAsia" w:ascii="Times New Roman" w:hAnsi="Times New Roman" w:eastAsia="仿宋_GB2312" w:cs="华文仿宋"/>
          <w:sz w:val="32"/>
          <w:szCs w:val="32"/>
        </w:rPr>
      </w:pPr>
      <w:r>
        <w:rPr>
          <w:rFonts w:hint="eastAsia" w:ascii="Times New Roman" w:hAnsi="Times New Roman" w:eastAsia="仿宋_GB2312" w:cs="华文仿宋"/>
          <w:w w:val="95"/>
          <w:sz w:val="32"/>
          <w:szCs w:val="32"/>
          <w:lang w:val="en-US" w:eastAsia="zh-CN"/>
        </w:rPr>
        <w:t xml:space="preserve">3. </w:t>
      </w:r>
      <w:r>
        <w:rPr>
          <w:rFonts w:hint="eastAsia" w:ascii="Times New Roman" w:hAnsi="Times New Roman" w:eastAsia="仿宋_GB2312" w:cs="华文仿宋"/>
          <w:w w:val="95"/>
          <w:sz w:val="32"/>
          <w:szCs w:val="32"/>
        </w:rPr>
        <w:t>问卷调查</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32" w:firstLineChars="200"/>
        <w:rPr>
          <w:rFonts w:hint="eastAsia" w:ascii="Times New Roman" w:hAnsi="Times New Roman" w:eastAsia="仿宋_GB2312" w:cs="华文仿宋"/>
          <w:spacing w:val="-2"/>
          <w:sz w:val="32"/>
          <w:szCs w:val="32"/>
        </w:rPr>
      </w:pPr>
      <w:r>
        <w:rPr>
          <w:rFonts w:hint="eastAsia" w:ascii="Times New Roman" w:hAnsi="Times New Roman" w:eastAsia="仿宋_GB2312" w:cs="华文仿宋"/>
          <w:spacing w:val="-2"/>
          <w:sz w:val="32"/>
          <w:szCs w:val="32"/>
          <w:lang w:val="en-US" w:eastAsia="zh-CN"/>
        </w:rPr>
        <w:t>①</w:t>
      </w:r>
      <w:r>
        <w:rPr>
          <w:rFonts w:hint="eastAsia" w:ascii="Times New Roman" w:hAnsi="Times New Roman" w:eastAsia="仿宋_GB2312" w:cs="华文仿宋"/>
          <w:spacing w:val="-2"/>
          <w:sz w:val="32"/>
          <w:szCs w:val="32"/>
        </w:rPr>
        <w:t>调查对象、目的和内容</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A、调查对象</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本次调研的对象为</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直接受益的受众群体。</w:t>
      </w:r>
    </w:p>
    <w:p>
      <w:pPr>
        <w:pStyle w:val="5"/>
        <w:keepNext w:val="0"/>
        <w:keepLines w:val="0"/>
        <w:pageBreakBefore w:val="0"/>
        <w:numPr>
          <w:ilvl w:val="0"/>
          <w:numId w:val="0"/>
        </w:numPr>
        <w:tabs>
          <w:tab w:val="clear" w:pos="312"/>
        </w:tabs>
        <w:kinsoku/>
        <w:wordWrap/>
        <w:overflowPunct/>
        <w:topLinePunct w:val="0"/>
        <w:autoSpaceDE w:val="0"/>
        <w:autoSpaceDN w:val="0"/>
        <w:bidi w:val="0"/>
        <w:adjustRightInd/>
        <w:snapToGrid/>
        <w:spacing w:before="0" w:after="0" w:line="600" w:lineRule="exact"/>
        <w:ind w:leftChars="0" w:right="0" w:rightChars="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B、</w:t>
      </w:r>
      <w:r>
        <w:rPr>
          <w:rFonts w:hint="eastAsia" w:ascii="Times New Roman" w:hAnsi="Times New Roman" w:eastAsia="仿宋_GB2312" w:cs="华文仿宋"/>
          <w:sz w:val="32"/>
          <w:szCs w:val="32"/>
        </w:rPr>
        <w:t>调查目的</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为更有效地反映项目绩效，客观测定专项资金的社会效果，依据公共支出绩效评价“为顾客服务”的原理，引入“市 民满意度”指标，对</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项目实施开展满意度调 查。</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C、</w:t>
      </w:r>
      <w:r>
        <w:rPr>
          <w:rFonts w:hint="eastAsia" w:ascii="Times New Roman" w:hAnsi="Times New Roman" w:eastAsia="仿宋_GB2312" w:cs="华文仿宋"/>
          <w:sz w:val="32"/>
          <w:szCs w:val="32"/>
        </w:rPr>
        <w:t>调查内容</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jc w:val="both"/>
        <w:rPr>
          <w:rFonts w:hint="eastAsia" w:ascii="Times New Roman" w:hAnsi="Times New Roman" w:eastAsia="仿宋_GB2312" w:cs="华文仿宋"/>
          <w:sz w:val="32"/>
          <w:szCs w:val="32"/>
        </w:rPr>
      </w:pPr>
      <w:r>
        <w:rPr>
          <w:rFonts w:hint="eastAsia" w:ascii="Times New Roman" w:hAnsi="Times New Roman" w:eastAsia="仿宋_GB2312" w:cs="华文仿宋"/>
          <w:spacing w:val="-1"/>
          <w:sz w:val="32"/>
          <w:szCs w:val="32"/>
          <w:lang w:val="en-US" w:eastAsia="zh-CN"/>
        </w:rPr>
        <w:t xml:space="preserve">    </w:t>
      </w:r>
      <w:r>
        <w:rPr>
          <w:rFonts w:hint="eastAsia" w:ascii="Times New Roman" w:hAnsi="Times New Roman" w:eastAsia="仿宋_GB2312" w:cs="华文仿宋"/>
          <w:spacing w:val="-1"/>
          <w:sz w:val="32"/>
          <w:szCs w:val="32"/>
          <w:lang w:eastAsia="zh-CN"/>
        </w:rPr>
        <w:t>该部门资金</w:t>
      </w:r>
      <w:r>
        <w:rPr>
          <w:rFonts w:hint="eastAsia" w:ascii="Times New Roman" w:hAnsi="Times New Roman" w:eastAsia="仿宋_GB2312" w:cs="华文仿宋"/>
          <w:spacing w:val="-1"/>
          <w:sz w:val="32"/>
          <w:szCs w:val="32"/>
        </w:rPr>
        <w:t>项目的满意程度，包括对该</w:t>
      </w:r>
      <w:r>
        <w:rPr>
          <w:rFonts w:hint="eastAsia" w:ascii="Times New Roman" w:hAnsi="Times New Roman" w:eastAsia="仿宋_GB2312" w:cs="华文仿宋"/>
          <w:spacing w:val="-1"/>
          <w:sz w:val="32"/>
          <w:szCs w:val="32"/>
          <w:lang w:eastAsia="zh-CN"/>
        </w:rPr>
        <w:t>项目</w:t>
      </w:r>
      <w:r>
        <w:rPr>
          <w:rFonts w:hint="eastAsia" w:ascii="Times New Roman" w:hAnsi="Times New Roman" w:eastAsia="仿宋_GB2312" w:cs="华文仿宋"/>
          <w:spacing w:val="-1"/>
          <w:sz w:val="32"/>
          <w:szCs w:val="32"/>
        </w:rPr>
        <w:t>的</w:t>
      </w:r>
      <w:r>
        <w:rPr>
          <w:rFonts w:hint="eastAsia" w:ascii="Times New Roman" w:hAnsi="Times New Roman" w:eastAsia="仿宋_GB2312" w:cs="华文仿宋"/>
          <w:spacing w:val="-5"/>
          <w:sz w:val="32"/>
          <w:szCs w:val="32"/>
        </w:rPr>
        <w:t>了解、反映问题处理情况、对项目整体的满意度、项目进行过程中有待改进的方面及合理化建议。</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3</w:t>
      </w:r>
      <w:r>
        <w:rPr>
          <w:rFonts w:hint="eastAsia" w:ascii="Times New Roman" w:hAnsi="Times New Roman" w:eastAsia="仿宋_GB2312" w:cs="华文仿宋"/>
          <w:sz w:val="32"/>
          <w:szCs w:val="32"/>
          <w:lang w:val="en-US" w:eastAsia="zh-CN"/>
        </w:rPr>
        <w:t>.</w:t>
      </w:r>
      <w:r>
        <w:rPr>
          <w:rFonts w:hint="eastAsia" w:ascii="Times New Roman" w:hAnsi="Times New Roman" w:eastAsia="仿宋_GB2312" w:cs="华文仿宋"/>
          <w:sz w:val="32"/>
          <w:szCs w:val="32"/>
        </w:rPr>
        <w:t>调查方式</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本次</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项目满意度问卷调研计划主要通</w:t>
      </w:r>
      <w:r>
        <w:rPr>
          <w:rFonts w:hint="eastAsia" w:ascii="Times New Roman" w:hAnsi="Times New Roman" w:eastAsia="仿宋_GB2312" w:cs="华文仿宋"/>
          <w:spacing w:val="-2"/>
          <w:sz w:val="32"/>
          <w:szCs w:val="32"/>
        </w:rPr>
        <w:t>过发放的方式进行，具体将根据与</w:t>
      </w:r>
      <w:r>
        <w:rPr>
          <w:rFonts w:hint="eastAsia" w:ascii="Times New Roman" w:hAnsi="Times New Roman" w:eastAsia="仿宋_GB2312" w:cs="华文仿宋"/>
          <w:spacing w:val="-2"/>
          <w:sz w:val="32"/>
          <w:szCs w:val="32"/>
          <w:lang w:eastAsia="zh-CN"/>
        </w:rPr>
        <w:t>该部门资金</w:t>
      </w:r>
      <w:r>
        <w:rPr>
          <w:rFonts w:hint="eastAsia" w:ascii="Times New Roman" w:hAnsi="Times New Roman" w:eastAsia="仿宋_GB2312" w:cs="华文仿宋"/>
          <w:spacing w:val="-2"/>
          <w:sz w:val="32"/>
          <w:szCs w:val="32"/>
        </w:rPr>
        <w:t>管理方沟</w:t>
      </w:r>
      <w:r>
        <w:rPr>
          <w:rFonts w:hint="eastAsia" w:ascii="Times New Roman" w:hAnsi="Times New Roman" w:eastAsia="仿宋_GB2312" w:cs="华文仿宋"/>
          <w:spacing w:val="-5"/>
          <w:sz w:val="32"/>
          <w:szCs w:val="32"/>
        </w:rPr>
        <w:t>通情况进行调整，如需要项目组评价人员现场发放的，则将</w:t>
      </w:r>
      <w:r>
        <w:rPr>
          <w:rFonts w:hint="eastAsia" w:ascii="Times New Roman" w:hAnsi="Times New Roman" w:eastAsia="仿宋_GB2312" w:cs="华文仿宋"/>
          <w:sz w:val="32"/>
          <w:szCs w:val="32"/>
        </w:rPr>
        <w:t>调整为现场发放。</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调查分为如下三个步骤：</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步骤一：实地调查前的工作准备</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结合项目的实际情况，根据项目的规模和影响范围确定进行问卷调查的样本。</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步骤二：开展实地调查</w:t>
      </w:r>
    </w:p>
    <w:p>
      <w:pPr>
        <w:pStyle w:val="5"/>
        <w:keepNext w:val="0"/>
        <w:keepLines w:val="0"/>
        <w:pageBreakBefore w:val="0"/>
        <w:tabs>
          <w:tab w:val="left" w:pos="5719"/>
        </w:tabs>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根据调查要求，绩效评价小组</w:t>
      </w:r>
      <w:r>
        <w:rPr>
          <w:rFonts w:hint="eastAsia" w:ascii="Times New Roman" w:hAnsi="Times New Roman" w:eastAsia="仿宋_GB2312" w:cs="华文仿宋"/>
          <w:sz w:val="32"/>
          <w:szCs w:val="32"/>
          <w:lang w:val="en-US" w:eastAsia="zh-CN"/>
        </w:rPr>
        <w:t>计划时间</w:t>
      </w:r>
      <w:r>
        <w:rPr>
          <w:rFonts w:hint="eastAsia" w:ascii="Times New Roman" w:hAnsi="Times New Roman" w:eastAsia="仿宋_GB2312" w:cs="华文仿宋"/>
          <w:sz w:val="32"/>
          <w:szCs w:val="32"/>
        </w:rPr>
        <w:t>开展实地</w:t>
      </w:r>
      <w:r>
        <w:rPr>
          <w:rFonts w:hint="eastAsia" w:ascii="Times New Roman" w:hAnsi="Times New Roman" w:eastAsia="仿宋_GB2312" w:cs="华文仿宋"/>
          <w:w w:val="95"/>
          <w:sz w:val="32"/>
          <w:szCs w:val="32"/>
        </w:rPr>
        <w:t>调查</w:t>
      </w:r>
      <w:r>
        <w:rPr>
          <w:rFonts w:hint="eastAsia" w:ascii="Times New Roman" w:hAnsi="Times New Roman" w:eastAsia="仿宋_GB2312" w:cs="华文仿宋"/>
          <w:spacing w:val="-5"/>
          <w:w w:val="95"/>
          <w:sz w:val="32"/>
          <w:szCs w:val="32"/>
        </w:rPr>
        <w:t>，</w:t>
      </w:r>
      <w:r>
        <w:rPr>
          <w:rFonts w:hint="eastAsia" w:ascii="Times New Roman" w:hAnsi="Times New Roman" w:eastAsia="仿宋_GB2312" w:cs="华文仿宋"/>
          <w:w w:val="95"/>
          <w:sz w:val="32"/>
          <w:szCs w:val="32"/>
        </w:rPr>
        <w:t>获取服务对象满意度的一手信息</w:t>
      </w:r>
      <w:r>
        <w:rPr>
          <w:rFonts w:hint="eastAsia" w:ascii="Times New Roman" w:hAnsi="Times New Roman" w:eastAsia="仿宋_GB2312" w:cs="华文仿宋"/>
          <w:spacing w:val="-5"/>
          <w:w w:val="95"/>
          <w:sz w:val="32"/>
          <w:szCs w:val="32"/>
        </w:rPr>
        <w:t>。</w:t>
      </w:r>
      <w:r>
        <w:rPr>
          <w:rFonts w:hint="eastAsia" w:ascii="Times New Roman" w:hAnsi="Times New Roman" w:eastAsia="仿宋_GB2312" w:cs="华文仿宋"/>
          <w:w w:val="95"/>
          <w:sz w:val="32"/>
          <w:szCs w:val="32"/>
        </w:rPr>
        <w:t>调查完成后</w:t>
      </w:r>
      <w:r>
        <w:rPr>
          <w:rFonts w:hint="eastAsia" w:ascii="Times New Roman" w:hAnsi="Times New Roman" w:eastAsia="仿宋_GB2312" w:cs="华文仿宋"/>
          <w:spacing w:val="-3"/>
          <w:w w:val="95"/>
          <w:sz w:val="32"/>
          <w:szCs w:val="32"/>
        </w:rPr>
        <w:t>，</w:t>
      </w:r>
      <w:r>
        <w:rPr>
          <w:rFonts w:hint="eastAsia" w:ascii="Times New Roman" w:hAnsi="Times New Roman" w:eastAsia="仿宋_GB2312" w:cs="华文仿宋"/>
          <w:w w:val="95"/>
          <w:sz w:val="32"/>
          <w:szCs w:val="32"/>
        </w:rPr>
        <w:t xml:space="preserve">调查 </w:t>
      </w:r>
      <w:r>
        <w:rPr>
          <w:rFonts w:hint="eastAsia" w:ascii="Times New Roman" w:hAnsi="Times New Roman" w:eastAsia="仿宋_GB2312" w:cs="华文仿宋"/>
          <w:sz w:val="32"/>
          <w:szCs w:val="32"/>
        </w:rPr>
        <w:t>问卷由绩效评价小组工作人员即时回收。</w:t>
      </w:r>
    </w:p>
    <w:p>
      <w:pPr>
        <w:pStyle w:val="5"/>
        <w:keepNext w:val="0"/>
        <w:keepLines w:val="0"/>
        <w:pageBreakBefore w:val="0"/>
        <w:tabs>
          <w:tab w:val="left" w:pos="5719"/>
        </w:tabs>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步骤三：调查结果统计绩效评价小组工作人员把调查填写的问卷汇总成调查问卷汇总表，之后再根据满意度统计方法计算出项目的满意度。</w:t>
      </w:r>
    </w:p>
    <w:p>
      <w:pPr>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br w:type="page"/>
      </w:r>
    </w:p>
    <w:p>
      <w:pPr>
        <w:outlineLvl w:val="0"/>
        <w:rPr>
          <w:rFonts w:hint="eastAsia" w:ascii="Times New Roman" w:hAnsi="Times New Roman" w:eastAsia="仿宋_GB2312" w:cs="仿宋_GB2312"/>
          <w:b/>
          <w:bCs/>
          <w:sz w:val="32"/>
          <w:szCs w:val="32"/>
          <w:lang w:val="en-US" w:eastAsia="zh-CN"/>
        </w:rPr>
      </w:pPr>
      <w:bookmarkStart w:id="131" w:name="_Toc5043"/>
      <w:bookmarkStart w:id="132" w:name="_Toc1823"/>
      <w:r>
        <w:rPr>
          <w:rFonts w:hint="eastAsia" w:ascii="Times New Roman" w:hAnsi="Times New Roman" w:eastAsia="仿宋_GB2312" w:cs="仿宋_GB2312"/>
          <w:b/>
          <w:bCs/>
          <w:sz w:val="32"/>
          <w:szCs w:val="32"/>
          <w:lang w:val="en-US" w:eastAsia="zh-CN"/>
        </w:rPr>
        <w:t>附件4 质量保障措施</w:t>
      </w:r>
      <w:bookmarkEnd w:id="131"/>
      <w:bookmarkEnd w:id="132"/>
    </w:p>
    <w:p>
      <w:pPr>
        <w:keepNext w:val="0"/>
        <w:keepLines w:val="0"/>
        <w:pageBreakBefore w:val="0"/>
        <w:widowControl w:val="0"/>
        <w:numPr>
          <w:ilvl w:val="0"/>
          <w:numId w:val="0"/>
        </w:numPr>
        <w:tabs>
          <w:tab w:val="clear" w:pos="312"/>
        </w:tabs>
        <w:kinsoku/>
        <w:wordWrap/>
        <w:overflowPunct/>
        <w:topLinePunct w:val="0"/>
        <w:autoSpaceDE w:val="0"/>
        <w:autoSpaceDN w:val="0"/>
        <w:bidi w:val="0"/>
        <w:adjustRightInd/>
        <w:snapToGrid/>
        <w:spacing w:before="0" w:after="0" w:line="600" w:lineRule="exact"/>
        <w:ind w:left="0" w:leftChars="0" w:right="0" w:rightChars="0" w:firstLine="643" w:firstLineChars="200"/>
        <w:jc w:val="both"/>
        <w:textAlignment w:val="auto"/>
        <w:outlineLvl w:val="0"/>
        <w:rPr>
          <w:rFonts w:hint="eastAsia" w:ascii="Times New Roman" w:hAnsi="Times New Roman" w:eastAsia="仿宋_GB2312" w:cs="华文仿宋"/>
          <w:b/>
          <w:bCs/>
          <w:sz w:val="32"/>
          <w:szCs w:val="32"/>
        </w:rPr>
      </w:pPr>
      <w:bookmarkStart w:id="133" w:name="_Toc13084"/>
      <w:bookmarkStart w:id="134" w:name="_Toc11722"/>
      <w:r>
        <w:rPr>
          <w:rFonts w:hint="eastAsia" w:ascii="Times New Roman" w:hAnsi="Times New Roman" w:eastAsia="仿宋_GB2312" w:cs="华文仿宋"/>
          <w:b/>
          <w:bCs/>
          <w:sz w:val="32"/>
          <w:szCs w:val="32"/>
          <w:lang w:eastAsia="zh-CN"/>
        </w:rPr>
        <w:t>（</w:t>
      </w:r>
      <w:r>
        <w:rPr>
          <w:rFonts w:hint="eastAsia" w:ascii="Times New Roman" w:hAnsi="Times New Roman" w:eastAsia="仿宋_GB2312" w:cs="华文仿宋"/>
          <w:b/>
          <w:bCs/>
          <w:sz w:val="32"/>
          <w:szCs w:val="32"/>
          <w:lang w:val="en-US" w:eastAsia="zh-CN"/>
        </w:rPr>
        <w:t>一）</w:t>
      </w:r>
      <w:r>
        <w:rPr>
          <w:rFonts w:hint="eastAsia" w:ascii="Times New Roman" w:hAnsi="Times New Roman" w:eastAsia="仿宋_GB2312" w:cs="华文仿宋"/>
          <w:b/>
          <w:bCs/>
          <w:sz w:val="32"/>
          <w:szCs w:val="32"/>
        </w:rPr>
        <w:t>准备阶段</w:t>
      </w:r>
      <w:bookmarkEnd w:id="133"/>
      <w:bookmarkEnd w:id="134"/>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jc w:val="both"/>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本次绩效评价设计的质量控制主要从以下几个方面进 行：绩效评价的实施方案是否满足管理者的要求，是否具有 可行性，是否满足本《办法》的要求；绩效评价拟采用的方 法是否恰当、可行，所涉及的资料是否可以收集到；是否对绩效评价活动的相关人员进行了培训；每项绩效评价活动是否指定明确的责任人；评价小组是否安排足够人力资源的时间来保证绩效评价工作的顺利开展，安排的人员结构是否合理。</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jc w:val="both"/>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对准备阶段的质量进行控制，如果《绩效评价实施方案》 不能满足上述要求，评价组应主动与评价小组进行沟通，使其理解管理部门的要求，限定其在规定的时间内修改《绩效评价实施方案》。</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3" w:firstLineChars="200"/>
        <w:jc w:val="both"/>
        <w:outlineLvl w:val="0"/>
        <w:rPr>
          <w:rFonts w:hint="eastAsia" w:ascii="Times New Roman" w:hAnsi="Times New Roman" w:eastAsia="仿宋_GB2312" w:cs="华文仿宋"/>
          <w:b/>
          <w:bCs/>
          <w:sz w:val="32"/>
          <w:szCs w:val="32"/>
        </w:rPr>
      </w:pPr>
      <w:bookmarkStart w:id="135" w:name="_Toc22847"/>
      <w:bookmarkStart w:id="136" w:name="_Toc137"/>
      <w:r>
        <w:rPr>
          <w:rFonts w:hint="eastAsia" w:ascii="Times New Roman" w:hAnsi="Times New Roman" w:eastAsia="仿宋_GB2312" w:cs="华文仿宋"/>
          <w:b/>
          <w:bCs/>
          <w:sz w:val="32"/>
          <w:szCs w:val="32"/>
          <w:lang w:eastAsia="zh-CN"/>
        </w:rPr>
        <w:t>（</w:t>
      </w:r>
      <w:r>
        <w:rPr>
          <w:rFonts w:hint="eastAsia" w:ascii="Times New Roman" w:hAnsi="Times New Roman" w:eastAsia="仿宋_GB2312" w:cs="华文仿宋"/>
          <w:b/>
          <w:bCs/>
          <w:sz w:val="32"/>
          <w:szCs w:val="32"/>
          <w:lang w:val="en-US" w:eastAsia="zh-CN"/>
        </w:rPr>
        <w:t>二）</w:t>
      </w:r>
      <w:r>
        <w:rPr>
          <w:rFonts w:hint="eastAsia" w:ascii="Times New Roman" w:hAnsi="Times New Roman" w:eastAsia="仿宋_GB2312" w:cs="华文仿宋"/>
          <w:b/>
          <w:bCs/>
          <w:sz w:val="32"/>
          <w:szCs w:val="32"/>
        </w:rPr>
        <w:t>实施阶段</w:t>
      </w:r>
      <w:bookmarkEnd w:id="135"/>
      <w:bookmarkEnd w:id="136"/>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jc w:val="both"/>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绩效评价实施的质量控制主要从以下几个方面进行：是否开展了《绩效评价实施方案》中确定的全部评价活动；是 否按照《绩效评价实施方案》中规定的时间开展绩效评价活动；评价活动是否按本《方案》要求的规范程序开展，各项 活动所收集到的资料、证据是否清晰、完整；是否根据本《方案》要求对收集的资料、证据进行整理、核实和确定。</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jc w:val="both"/>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评价组应随时保持与评价小组的联系，了解评价活动的进展，必要时还可以参与到绩效评价的活动中。如果绩效评价活动不能满足上述要求，评价组应当要求评价小组进行改正。如果有的绩效活动确实不能开展，评价小组应当对不能 开展评价活动的事项作出说明，并分析可能造成的影响，在 评价报告中予以披露。</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3" w:firstLineChars="200"/>
        <w:jc w:val="both"/>
        <w:outlineLvl w:val="0"/>
        <w:rPr>
          <w:rFonts w:hint="eastAsia" w:ascii="Times New Roman" w:hAnsi="Times New Roman" w:eastAsia="仿宋_GB2312" w:cs="华文仿宋"/>
          <w:b/>
          <w:bCs/>
          <w:sz w:val="32"/>
          <w:szCs w:val="32"/>
        </w:rPr>
      </w:pPr>
      <w:bookmarkStart w:id="137" w:name="_Toc3319"/>
      <w:bookmarkStart w:id="138" w:name="_Toc2862"/>
      <w:r>
        <w:rPr>
          <w:rFonts w:hint="eastAsia" w:ascii="Times New Roman" w:hAnsi="Times New Roman" w:eastAsia="仿宋_GB2312" w:cs="华文仿宋"/>
          <w:b/>
          <w:bCs/>
          <w:sz w:val="32"/>
          <w:szCs w:val="32"/>
          <w:lang w:eastAsia="zh-CN"/>
        </w:rPr>
        <w:t>（</w:t>
      </w:r>
      <w:r>
        <w:rPr>
          <w:rFonts w:hint="eastAsia" w:ascii="Times New Roman" w:hAnsi="Times New Roman" w:eastAsia="仿宋_GB2312" w:cs="华文仿宋"/>
          <w:b/>
          <w:bCs/>
          <w:sz w:val="32"/>
          <w:szCs w:val="32"/>
          <w:lang w:val="en-US" w:eastAsia="zh-CN"/>
        </w:rPr>
        <w:t>三）</w:t>
      </w:r>
      <w:r>
        <w:rPr>
          <w:rFonts w:hint="eastAsia" w:ascii="Times New Roman" w:hAnsi="Times New Roman" w:eastAsia="仿宋_GB2312" w:cs="华文仿宋"/>
          <w:b/>
          <w:bCs/>
          <w:sz w:val="32"/>
          <w:szCs w:val="32"/>
        </w:rPr>
        <w:t>报告的审核模式</w:t>
      </w:r>
      <w:bookmarkEnd w:id="137"/>
      <w:bookmarkEnd w:id="138"/>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jc w:val="both"/>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评价组在完成评价报告初稿后，与被评价单位交换意 见，提交评价组进行审核，评价组就评价报告初稿提出修改 和完善评价报告意见和建议，限定评价小组在规定的时间进行修改和完善，形成评价报告终稿，在与被评价单位交换意见后再次提交给评价组，评价组审核不误后，出具正式的绩 效评价报告。</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3" w:firstLineChars="200"/>
        <w:jc w:val="both"/>
        <w:outlineLvl w:val="0"/>
        <w:rPr>
          <w:rFonts w:hint="eastAsia" w:ascii="Times New Roman" w:hAnsi="Times New Roman" w:eastAsia="仿宋_GB2312" w:cs="华文仿宋"/>
          <w:b/>
          <w:bCs/>
          <w:sz w:val="32"/>
          <w:szCs w:val="32"/>
        </w:rPr>
      </w:pPr>
      <w:bookmarkStart w:id="139" w:name="_Toc13325"/>
      <w:bookmarkStart w:id="140" w:name="_Toc3803"/>
      <w:r>
        <w:rPr>
          <w:rFonts w:hint="eastAsia" w:ascii="Times New Roman" w:hAnsi="Times New Roman" w:eastAsia="仿宋_GB2312" w:cs="华文仿宋"/>
          <w:b/>
          <w:bCs/>
          <w:sz w:val="32"/>
          <w:szCs w:val="32"/>
          <w:lang w:eastAsia="zh-CN"/>
        </w:rPr>
        <w:t>（</w:t>
      </w:r>
      <w:r>
        <w:rPr>
          <w:rFonts w:hint="eastAsia" w:ascii="Times New Roman" w:hAnsi="Times New Roman" w:eastAsia="仿宋_GB2312" w:cs="华文仿宋"/>
          <w:b/>
          <w:bCs/>
          <w:sz w:val="32"/>
          <w:szCs w:val="32"/>
          <w:lang w:val="en-US" w:eastAsia="zh-CN"/>
        </w:rPr>
        <w:t>四）</w:t>
      </w:r>
      <w:r>
        <w:rPr>
          <w:rFonts w:hint="eastAsia" w:ascii="Times New Roman" w:hAnsi="Times New Roman" w:eastAsia="仿宋_GB2312" w:cs="华文仿宋"/>
          <w:b/>
          <w:bCs/>
          <w:sz w:val="32"/>
          <w:szCs w:val="32"/>
        </w:rPr>
        <w:t>报告阶段</w:t>
      </w:r>
      <w:bookmarkEnd w:id="139"/>
      <w:bookmarkEnd w:id="140"/>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jc w:val="both"/>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评价报告质量是质量控制的核心。评价报告的质量体现在以下几个方面：评价报告的格式是否满足本《办法》的要求；评价报告的语言表达是否明确、易于理解且没有歧义；评价报告是否对所有的关键问题都进行了回答；评价报告采用的证据是否相关、有效、可靠和准确；绩效分析是否客观、系统、符合逻辑；评价结论是否清晰，并有充分的证据支持；总结的经验教训是否清晰明确、有证据支持；提出的建议是否有针对性，对管理部门改进管理、改善决策是否有帮助；报告的附件是否齐全。</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jc w:val="both"/>
        <w:rPr>
          <w:rFonts w:hint="eastAsia"/>
          <w:sz w:val="32"/>
          <w:szCs w:val="32"/>
          <w:lang w:val="en-US" w:eastAsia="zh-CN"/>
        </w:rPr>
      </w:pPr>
      <w:r>
        <w:rPr>
          <w:rFonts w:hint="eastAsia" w:ascii="Times New Roman" w:hAnsi="Times New Roman" w:eastAsia="仿宋_GB2312" w:cs="华文仿宋"/>
          <w:sz w:val="32"/>
          <w:szCs w:val="32"/>
        </w:rPr>
        <w:t>评价组要针对上述内容对评价报告初稿进行检查，如果报告初稿没有符合上述要求，评价组要向评价小组明确提出，并要求其在限定的时间内进行改正。对于评价报告终稿仍存在不足，则要求评价小组解释原因，并在评价局限性中加以说明。</w:t>
      </w:r>
    </w:p>
    <w:sectPr>
      <w:footerReference r:id="rId5" w:type="default"/>
      <w:pgSz w:w="11906" w:h="16838"/>
      <w:pgMar w:top="1701" w:right="1701" w:bottom="1701" w:left="1814"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PMingLiU">
    <w:panose1 w:val="02020500000000000000"/>
    <w:charset w:val="88"/>
    <w:family w:val="decorative"/>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Cambria Math">
    <w:panose1 w:val="02040503050406030204"/>
    <w:charset w:val="00"/>
    <w:family w:val="decorative"/>
    <w:pitch w:val="default"/>
    <w:sig w:usb0="E00002FF" w:usb1="42002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jc w:val="center"/>
      <w:rPr>
        <w:rFonts w:asciiTheme="minorEastAsia" w:hAnsiTheme="minorEastAsia"/>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406261690">
    <w:nsid w:val="CB076DBA"/>
    <w:multiLevelType w:val="singleLevel"/>
    <w:tmpl w:val="CB076DBA"/>
    <w:lvl w:ilvl="0" w:tentative="1">
      <w:start w:val="1"/>
      <w:numFmt w:val="decimal"/>
      <w:suff w:val="nothing"/>
      <w:lvlText w:val="（%1）"/>
      <w:lvlJc w:val="left"/>
    </w:lvl>
  </w:abstractNum>
  <w:abstractNum w:abstractNumId="3736955136">
    <w:nsid w:val="DEBD6900"/>
    <w:multiLevelType w:val="singleLevel"/>
    <w:tmpl w:val="DEBD6900"/>
    <w:lvl w:ilvl="0" w:tentative="1">
      <w:start w:val="1"/>
      <w:numFmt w:val="decimal"/>
      <w:lvlText w:val="%1."/>
      <w:lvlJc w:val="left"/>
      <w:pPr>
        <w:tabs>
          <w:tab w:val="left" w:pos="312"/>
        </w:tabs>
      </w:pPr>
    </w:lvl>
  </w:abstractNum>
  <w:abstractNum w:abstractNumId="4101730245">
    <w:nsid w:val="F47B6FC5"/>
    <w:multiLevelType w:val="singleLevel"/>
    <w:tmpl w:val="F47B6FC5"/>
    <w:lvl w:ilvl="0" w:tentative="1">
      <w:start w:val="1"/>
      <w:numFmt w:val="decimal"/>
      <w:suff w:val="nothing"/>
      <w:lvlText w:val="（%1）"/>
      <w:lvlJc w:val="left"/>
    </w:lvl>
  </w:abstractNum>
  <w:abstractNum w:abstractNumId="1910977801">
    <w:nsid w:val="71E73509"/>
    <w:multiLevelType w:val="singleLevel"/>
    <w:tmpl w:val="71E73509"/>
    <w:lvl w:ilvl="0" w:tentative="1">
      <w:start w:val="1"/>
      <w:numFmt w:val="chineseCounting"/>
      <w:suff w:val="nothing"/>
      <w:lvlText w:val="（%1）"/>
      <w:lvlJc w:val="left"/>
      <w:pPr>
        <w:ind w:left="-13"/>
      </w:pPr>
      <w:rPr>
        <w:rFonts w:hint="eastAsia"/>
      </w:rPr>
    </w:lvl>
  </w:abstractNum>
  <w:abstractNum w:abstractNumId="2956454196">
    <w:nsid w:val="B037E934"/>
    <w:multiLevelType w:val="singleLevel"/>
    <w:tmpl w:val="B037E934"/>
    <w:lvl w:ilvl="0" w:tentative="1">
      <w:start w:val="1"/>
      <w:numFmt w:val="chineseCounting"/>
      <w:suff w:val="nothing"/>
      <w:lvlText w:val="（%1）"/>
      <w:lvlJc w:val="left"/>
      <w:rPr>
        <w:rFonts w:hint="eastAsia"/>
      </w:rPr>
    </w:lvl>
  </w:abstractNum>
  <w:abstractNum w:abstractNumId="4096309610">
    <w:nsid w:val="F428B96A"/>
    <w:multiLevelType w:val="singleLevel"/>
    <w:tmpl w:val="F428B96A"/>
    <w:lvl w:ilvl="0" w:tentative="1">
      <w:start w:val="1"/>
      <w:numFmt w:val="chineseCounting"/>
      <w:suff w:val="nothing"/>
      <w:lvlText w:val="（%1）"/>
      <w:lvlJc w:val="left"/>
      <w:rPr>
        <w:rFonts w:hint="eastAsia"/>
      </w:rPr>
    </w:lvl>
  </w:abstractNum>
  <w:abstractNum w:abstractNumId="1584021672">
    <w:nsid w:val="5E6A40A8"/>
    <w:multiLevelType w:val="multilevel"/>
    <w:tmpl w:val="5E6A40A8"/>
    <w:lvl w:ilvl="0" w:tentative="1">
      <w:start w:val="1"/>
      <w:numFmt w:val="chineseCountingThousand"/>
      <w:pStyle w:val="24"/>
      <w:suff w:val="nothing"/>
      <w:lvlText w:val="%1、"/>
      <w:lvlJc w:val="left"/>
      <w:pPr>
        <w:ind w:left="0" w:firstLine="709"/>
      </w:pPr>
      <w:rPr>
        <w:rFonts w:hint="eastAsia" w:ascii="黑体" w:hAnsi="黑体" w:eastAsia="黑体"/>
        <w:b w:val="0"/>
        <w:i w:val="0"/>
        <w:sz w:val="32"/>
        <w:lang w:val="en-US"/>
      </w:rPr>
    </w:lvl>
    <w:lvl w:ilvl="1" w:tentative="1">
      <w:start w:val="1"/>
      <w:numFmt w:val="chineseCountingThousand"/>
      <w:pStyle w:val="25"/>
      <w:suff w:val="nothing"/>
      <w:lvlText w:val="（%2）"/>
      <w:lvlJc w:val="left"/>
      <w:pPr>
        <w:ind w:left="0" w:firstLine="709"/>
      </w:pPr>
      <w:rPr>
        <w:rFonts w:hint="eastAsia" w:ascii="楷体" w:hAnsi="楷体" w:eastAsia="楷体"/>
        <w:b/>
        <w:i w:val="0"/>
        <w:sz w:val="32"/>
      </w:rPr>
    </w:lvl>
    <w:lvl w:ilvl="2" w:tentative="1">
      <w:start w:val="1"/>
      <w:numFmt w:val="decimal"/>
      <w:suff w:val="nothing"/>
      <w:lvlText w:val="%3."/>
      <w:lvlJc w:val="left"/>
      <w:pPr>
        <w:ind w:left="0" w:firstLine="709"/>
      </w:pPr>
      <w:rPr>
        <w:rFonts w:hint="eastAsia" w:ascii="仿宋_GB2312" w:hAnsi="仿宋_GB2312" w:eastAsia="仿宋_GB2312"/>
        <w:b/>
        <w:i w:val="0"/>
        <w:sz w:val="32"/>
      </w:rPr>
    </w:lvl>
    <w:lvl w:ilvl="3" w:tentative="1">
      <w:start w:val="1"/>
      <w:numFmt w:val="decimal"/>
      <w:lvlText w:val="%1.%2.%3.%4"/>
      <w:lvlJc w:val="left"/>
      <w:pPr>
        <w:tabs>
          <w:tab w:val="left" w:pos="0"/>
        </w:tabs>
        <w:ind w:left="0" w:firstLine="709"/>
      </w:pPr>
      <w:rPr>
        <w:rFonts w:hint="eastAsia"/>
      </w:rPr>
    </w:lvl>
    <w:lvl w:ilvl="4" w:tentative="1">
      <w:start w:val="1"/>
      <w:numFmt w:val="decimal"/>
      <w:lvlText w:val="%1.%2.%3.%4.%5"/>
      <w:lvlJc w:val="left"/>
      <w:pPr>
        <w:tabs>
          <w:tab w:val="left" w:pos="0"/>
        </w:tabs>
        <w:ind w:left="0" w:firstLine="709"/>
      </w:pPr>
      <w:rPr>
        <w:rFonts w:hint="eastAsia"/>
      </w:rPr>
    </w:lvl>
    <w:lvl w:ilvl="5" w:tentative="1">
      <w:start w:val="1"/>
      <w:numFmt w:val="decimal"/>
      <w:lvlText w:val="%1.%2.%3.%4.%5.%6"/>
      <w:lvlJc w:val="left"/>
      <w:pPr>
        <w:tabs>
          <w:tab w:val="left" w:pos="0"/>
        </w:tabs>
        <w:ind w:left="0" w:firstLine="709"/>
      </w:pPr>
      <w:rPr>
        <w:rFonts w:hint="eastAsia"/>
      </w:rPr>
    </w:lvl>
    <w:lvl w:ilvl="6" w:tentative="1">
      <w:start w:val="1"/>
      <w:numFmt w:val="decimal"/>
      <w:lvlText w:val="%1.%2.%3.%4.%5.%6.%7"/>
      <w:lvlJc w:val="left"/>
      <w:pPr>
        <w:tabs>
          <w:tab w:val="left" w:pos="0"/>
        </w:tabs>
        <w:ind w:left="0" w:firstLine="709"/>
      </w:pPr>
      <w:rPr>
        <w:rFonts w:hint="eastAsia"/>
      </w:rPr>
    </w:lvl>
    <w:lvl w:ilvl="7" w:tentative="1">
      <w:start w:val="1"/>
      <w:numFmt w:val="decimal"/>
      <w:lvlText w:val="%1.%2.%3.%4.%5.%6.%7.%8"/>
      <w:lvlJc w:val="left"/>
      <w:pPr>
        <w:tabs>
          <w:tab w:val="left" w:pos="0"/>
        </w:tabs>
        <w:ind w:left="0" w:firstLine="709"/>
      </w:pPr>
      <w:rPr>
        <w:rFonts w:hint="eastAsia"/>
      </w:rPr>
    </w:lvl>
    <w:lvl w:ilvl="8" w:tentative="1">
      <w:start w:val="1"/>
      <w:numFmt w:val="decimal"/>
      <w:lvlText w:val="%1.%2.%3.%4.%5.%6.%7.%8.%9"/>
      <w:lvlJc w:val="left"/>
      <w:pPr>
        <w:tabs>
          <w:tab w:val="left" w:pos="0"/>
        </w:tabs>
        <w:ind w:left="0" w:firstLine="709"/>
      </w:pPr>
      <w:rPr>
        <w:rFonts w:hint="eastAsia"/>
      </w:rPr>
    </w:lvl>
  </w:abstractNum>
  <w:num w:numId="1">
    <w:abstractNumId w:val="1584021672"/>
  </w:num>
  <w:num w:numId="2">
    <w:abstractNumId w:val="3406261690"/>
  </w:num>
  <w:num w:numId="3">
    <w:abstractNumId w:val="3736955136"/>
  </w:num>
  <w:num w:numId="4">
    <w:abstractNumId w:val="4101730245"/>
  </w:num>
  <w:num w:numId="5">
    <w:abstractNumId w:val="1910977801"/>
  </w:num>
  <w:num w:numId="6">
    <w:abstractNumId w:val="2956454196"/>
  </w:num>
  <w:num w:numId="7">
    <w:abstractNumId w:val="40963096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xMzNlNzk4MzIzZTNhOTRjYzcwMmNlODZmZGQ1NDcifQ=="/>
  </w:docVars>
  <w:rsids>
    <w:rsidRoot w:val="00483B7A"/>
    <w:rsid w:val="00004057"/>
    <w:rsid w:val="00006494"/>
    <w:rsid w:val="00007403"/>
    <w:rsid w:val="000205BB"/>
    <w:rsid w:val="00022D2A"/>
    <w:rsid w:val="00026CD4"/>
    <w:rsid w:val="00031353"/>
    <w:rsid w:val="000403FB"/>
    <w:rsid w:val="0004644F"/>
    <w:rsid w:val="00046575"/>
    <w:rsid w:val="00047F7E"/>
    <w:rsid w:val="00051133"/>
    <w:rsid w:val="000511CD"/>
    <w:rsid w:val="00052630"/>
    <w:rsid w:val="000637E4"/>
    <w:rsid w:val="00064F9A"/>
    <w:rsid w:val="00066369"/>
    <w:rsid w:val="00085245"/>
    <w:rsid w:val="000A1B10"/>
    <w:rsid w:val="000B3BB6"/>
    <w:rsid w:val="000B492A"/>
    <w:rsid w:val="000B4DDF"/>
    <w:rsid w:val="000D752F"/>
    <w:rsid w:val="000F617C"/>
    <w:rsid w:val="00102B59"/>
    <w:rsid w:val="001053A1"/>
    <w:rsid w:val="001055EE"/>
    <w:rsid w:val="00106D07"/>
    <w:rsid w:val="00113F38"/>
    <w:rsid w:val="001162B5"/>
    <w:rsid w:val="00117A24"/>
    <w:rsid w:val="001313BB"/>
    <w:rsid w:val="00132807"/>
    <w:rsid w:val="001328D2"/>
    <w:rsid w:val="00137539"/>
    <w:rsid w:val="00146042"/>
    <w:rsid w:val="00150398"/>
    <w:rsid w:val="00150E51"/>
    <w:rsid w:val="00150F78"/>
    <w:rsid w:val="00154D23"/>
    <w:rsid w:val="00184AF7"/>
    <w:rsid w:val="00187AA7"/>
    <w:rsid w:val="001929F3"/>
    <w:rsid w:val="001A4B88"/>
    <w:rsid w:val="001B00B4"/>
    <w:rsid w:val="001C6A87"/>
    <w:rsid w:val="001C7021"/>
    <w:rsid w:val="001D0558"/>
    <w:rsid w:val="001D1BFD"/>
    <w:rsid w:val="001D2630"/>
    <w:rsid w:val="001E013B"/>
    <w:rsid w:val="001E3A17"/>
    <w:rsid w:val="001E50C7"/>
    <w:rsid w:val="001E61ED"/>
    <w:rsid w:val="001E67D3"/>
    <w:rsid w:val="001F08F4"/>
    <w:rsid w:val="001F22B6"/>
    <w:rsid w:val="00200F32"/>
    <w:rsid w:val="00214E7C"/>
    <w:rsid w:val="0023164A"/>
    <w:rsid w:val="00232644"/>
    <w:rsid w:val="00235916"/>
    <w:rsid w:val="00235A85"/>
    <w:rsid w:val="00240025"/>
    <w:rsid w:val="00244896"/>
    <w:rsid w:val="00250580"/>
    <w:rsid w:val="0025087C"/>
    <w:rsid w:val="002538BF"/>
    <w:rsid w:val="00256D9C"/>
    <w:rsid w:val="00262E14"/>
    <w:rsid w:val="00271CFD"/>
    <w:rsid w:val="00274BB5"/>
    <w:rsid w:val="0027765E"/>
    <w:rsid w:val="0028551B"/>
    <w:rsid w:val="00290F3E"/>
    <w:rsid w:val="00293907"/>
    <w:rsid w:val="00295DF7"/>
    <w:rsid w:val="0029603C"/>
    <w:rsid w:val="002A59D8"/>
    <w:rsid w:val="002B33FE"/>
    <w:rsid w:val="002B7755"/>
    <w:rsid w:val="002C20EB"/>
    <w:rsid w:val="002C4D19"/>
    <w:rsid w:val="002C7FC4"/>
    <w:rsid w:val="002D02A0"/>
    <w:rsid w:val="002E018D"/>
    <w:rsid w:val="002E2A3B"/>
    <w:rsid w:val="002E538D"/>
    <w:rsid w:val="002F0254"/>
    <w:rsid w:val="002F3FA0"/>
    <w:rsid w:val="002F4BF2"/>
    <w:rsid w:val="003066E6"/>
    <w:rsid w:val="0031313C"/>
    <w:rsid w:val="003161E2"/>
    <w:rsid w:val="00325387"/>
    <w:rsid w:val="00330201"/>
    <w:rsid w:val="00331951"/>
    <w:rsid w:val="00341F85"/>
    <w:rsid w:val="003441A1"/>
    <w:rsid w:val="00344230"/>
    <w:rsid w:val="00344FE3"/>
    <w:rsid w:val="00346DC3"/>
    <w:rsid w:val="00354E63"/>
    <w:rsid w:val="003707C0"/>
    <w:rsid w:val="00371376"/>
    <w:rsid w:val="003750CB"/>
    <w:rsid w:val="00377538"/>
    <w:rsid w:val="003836A0"/>
    <w:rsid w:val="0038466E"/>
    <w:rsid w:val="00393080"/>
    <w:rsid w:val="0039596E"/>
    <w:rsid w:val="00395BF0"/>
    <w:rsid w:val="00396159"/>
    <w:rsid w:val="003A09C5"/>
    <w:rsid w:val="003A0E4D"/>
    <w:rsid w:val="003C3DF2"/>
    <w:rsid w:val="003C67F6"/>
    <w:rsid w:val="003D1834"/>
    <w:rsid w:val="003F1F1B"/>
    <w:rsid w:val="003F51B5"/>
    <w:rsid w:val="003F7AAE"/>
    <w:rsid w:val="00403153"/>
    <w:rsid w:val="00411B13"/>
    <w:rsid w:val="00414E19"/>
    <w:rsid w:val="00423E79"/>
    <w:rsid w:val="00425B39"/>
    <w:rsid w:val="004264BF"/>
    <w:rsid w:val="00427C00"/>
    <w:rsid w:val="00431A2C"/>
    <w:rsid w:val="00442BBF"/>
    <w:rsid w:val="00444251"/>
    <w:rsid w:val="00447982"/>
    <w:rsid w:val="00452A5C"/>
    <w:rsid w:val="004562F2"/>
    <w:rsid w:val="00457C89"/>
    <w:rsid w:val="004618FD"/>
    <w:rsid w:val="00467AD9"/>
    <w:rsid w:val="00471BBB"/>
    <w:rsid w:val="004729C0"/>
    <w:rsid w:val="00473303"/>
    <w:rsid w:val="004744AA"/>
    <w:rsid w:val="0048182F"/>
    <w:rsid w:val="00483B7A"/>
    <w:rsid w:val="00491C62"/>
    <w:rsid w:val="00493AAA"/>
    <w:rsid w:val="0049404B"/>
    <w:rsid w:val="004944A5"/>
    <w:rsid w:val="004A1CA3"/>
    <w:rsid w:val="004A40F3"/>
    <w:rsid w:val="004B254C"/>
    <w:rsid w:val="004C0D3D"/>
    <w:rsid w:val="004C23B8"/>
    <w:rsid w:val="004C7E04"/>
    <w:rsid w:val="004D0655"/>
    <w:rsid w:val="004D7E6F"/>
    <w:rsid w:val="004E0705"/>
    <w:rsid w:val="004E4675"/>
    <w:rsid w:val="004E77CF"/>
    <w:rsid w:val="004F0BC1"/>
    <w:rsid w:val="004F204A"/>
    <w:rsid w:val="004F58F9"/>
    <w:rsid w:val="005038B0"/>
    <w:rsid w:val="00505D4F"/>
    <w:rsid w:val="00510939"/>
    <w:rsid w:val="00533C61"/>
    <w:rsid w:val="00540687"/>
    <w:rsid w:val="005431FE"/>
    <w:rsid w:val="0054487D"/>
    <w:rsid w:val="00551BD2"/>
    <w:rsid w:val="00561239"/>
    <w:rsid w:val="00563543"/>
    <w:rsid w:val="005651AB"/>
    <w:rsid w:val="005706A1"/>
    <w:rsid w:val="00571294"/>
    <w:rsid w:val="00575534"/>
    <w:rsid w:val="00591ACA"/>
    <w:rsid w:val="005A20E4"/>
    <w:rsid w:val="005C0BD6"/>
    <w:rsid w:val="005C3FF9"/>
    <w:rsid w:val="005C52CD"/>
    <w:rsid w:val="005D0452"/>
    <w:rsid w:val="005D145A"/>
    <w:rsid w:val="005D1488"/>
    <w:rsid w:val="005D60DC"/>
    <w:rsid w:val="005E7062"/>
    <w:rsid w:val="0060084A"/>
    <w:rsid w:val="0060093A"/>
    <w:rsid w:val="00602D15"/>
    <w:rsid w:val="006040AD"/>
    <w:rsid w:val="00605516"/>
    <w:rsid w:val="0060605D"/>
    <w:rsid w:val="00613722"/>
    <w:rsid w:val="00617FAE"/>
    <w:rsid w:val="006218C6"/>
    <w:rsid w:val="00626FAF"/>
    <w:rsid w:val="00644519"/>
    <w:rsid w:val="0064503D"/>
    <w:rsid w:val="00652F8B"/>
    <w:rsid w:val="00653010"/>
    <w:rsid w:val="00654010"/>
    <w:rsid w:val="00654CFF"/>
    <w:rsid w:val="00667F30"/>
    <w:rsid w:val="00680ACE"/>
    <w:rsid w:val="0068740A"/>
    <w:rsid w:val="006959FB"/>
    <w:rsid w:val="006974F1"/>
    <w:rsid w:val="006A6789"/>
    <w:rsid w:val="006A6C72"/>
    <w:rsid w:val="006C5C63"/>
    <w:rsid w:val="006D0B4B"/>
    <w:rsid w:val="006E0493"/>
    <w:rsid w:val="006E1F5B"/>
    <w:rsid w:val="006E7111"/>
    <w:rsid w:val="006F0EE6"/>
    <w:rsid w:val="006F22BF"/>
    <w:rsid w:val="006F4642"/>
    <w:rsid w:val="0070138E"/>
    <w:rsid w:val="00704EA1"/>
    <w:rsid w:val="0070697C"/>
    <w:rsid w:val="0071097D"/>
    <w:rsid w:val="00713632"/>
    <w:rsid w:val="00717E63"/>
    <w:rsid w:val="00722564"/>
    <w:rsid w:val="00736915"/>
    <w:rsid w:val="0074001F"/>
    <w:rsid w:val="0074410F"/>
    <w:rsid w:val="00744C5C"/>
    <w:rsid w:val="00744CD3"/>
    <w:rsid w:val="00752758"/>
    <w:rsid w:val="00754004"/>
    <w:rsid w:val="00754070"/>
    <w:rsid w:val="007706CB"/>
    <w:rsid w:val="00777AF5"/>
    <w:rsid w:val="00783CC7"/>
    <w:rsid w:val="007841B9"/>
    <w:rsid w:val="00787C36"/>
    <w:rsid w:val="007955F6"/>
    <w:rsid w:val="007A11B6"/>
    <w:rsid w:val="007A1298"/>
    <w:rsid w:val="007A2502"/>
    <w:rsid w:val="007A3AFC"/>
    <w:rsid w:val="007B0761"/>
    <w:rsid w:val="007E058E"/>
    <w:rsid w:val="007E603A"/>
    <w:rsid w:val="007E7B8E"/>
    <w:rsid w:val="007F32E7"/>
    <w:rsid w:val="00800FB7"/>
    <w:rsid w:val="008040EF"/>
    <w:rsid w:val="008057D7"/>
    <w:rsid w:val="00813FEA"/>
    <w:rsid w:val="008152C2"/>
    <w:rsid w:val="00816B41"/>
    <w:rsid w:val="00817615"/>
    <w:rsid w:val="00824F52"/>
    <w:rsid w:val="00826FD4"/>
    <w:rsid w:val="008319A3"/>
    <w:rsid w:val="00831A66"/>
    <w:rsid w:val="008340A1"/>
    <w:rsid w:val="00844F47"/>
    <w:rsid w:val="00845E6F"/>
    <w:rsid w:val="008656C6"/>
    <w:rsid w:val="008672FD"/>
    <w:rsid w:val="008820E9"/>
    <w:rsid w:val="00893792"/>
    <w:rsid w:val="00894D8E"/>
    <w:rsid w:val="008A0870"/>
    <w:rsid w:val="008B1EB0"/>
    <w:rsid w:val="008B52BE"/>
    <w:rsid w:val="008C76AA"/>
    <w:rsid w:val="008D2507"/>
    <w:rsid w:val="008D41A9"/>
    <w:rsid w:val="008D6180"/>
    <w:rsid w:val="008E7687"/>
    <w:rsid w:val="008F0300"/>
    <w:rsid w:val="008F7CB8"/>
    <w:rsid w:val="0090684C"/>
    <w:rsid w:val="0091456F"/>
    <w:rsid w:val="00916EB4"/>
    <w:rsid w:val="00942897"/>
    <w:rsid w:val="0095048E"/>
    <w:rsid w:val="0096156E"/>
    <w:rsid w:val="00961BED"/>
    <w:rsid w:val="00962DE1"/>
    <w:rsid w:val="00966800"/>
    <w:rsid w:val="009774E6"/>
    <w:rsid w:val="00984EB9"/>
    <w:rsid w:val="009A155E"/>
    <w:rsid w:val="009A4ACE"/>
    <w:rsid w:val="009B2493"/>
    <w:rsid w:val="009C2DE5"/>
    <w:rsid w:val="009C39ED"/>
    <w:rsid w:val="009C7BEF"/>
    <w:rsid w:val="009E04C8"/>
    <w:rsid w:val="009E6928"/>
    <w:rsid w:val="009F2194"/>
    <w:rsid w:val="009F53E9"/>
    <w:rsid w:val="00A04273"/>
    <w:rsid w:val="00A04993"/>
    <w:rsid w:val="00A10E39"/>
    <w:rsid w:val="00A22347"/>
    <w:rsid w:val="00A26273"/>
    <w:rsid w:val="00A264AA"/>
    <w:rsid w:val="00A26ECD"/>
    <w:rsid w:val="00A40151"/>
    <w:rsid w:val="00A40186"/>
    <w:rsid w:val="00A43F5C"/>
    <w:rsid w:val="00A4507D"/>
    <w:rsid w:val="00A465C0"/>
    <w:rsid w:val="00A53145"/>
    <w:rsid w:val="00A5440B"/>
    <w:rsid w:val="00A5472B"/>
    <w:rsid w:val="00A5774E"/>
    <w:rsid w:val="00A63500"/>
    <w:rsid w:val="00A652A0"/>
    <w:rsid w:val="00A74567"/>
    <w:rsid w:val="00A77EAE"/>
    <w:rsid w:val="00A97878"/>
    <w:rsid w:val="00AA1B99"/>
    <w:rsid w:val="00AB305C"/>
    <w:rsid w:val="00AB76AE"/>
    <w:rsid w:val="00AD168E"/>
    <w:rsid w:val="00AD1A0C"/>
    <w:rsid w:val="00AE040A"/>
    <w:rsid w:val="00AE0590"/>
    <w:rsid w:val="00AF3BFC"/>
    <w:rsid w:val="00AF5A44"/>
    <w:rsid w:val="00B00270"/>
    <w:rsid w:val="00B004D5"/>
    <w:rsid w:val="00B01BD8"/>
    <w:rsid w:val="00B1429D"/>
    <w:rsid w:val="00B24FAA"/>
    <w:rsid w:val="00B31626"/>
    <w:rsid w:val="00B32F0E"/>
    <w:rsid w:val="00B34F26"/>
    <w:rsid w:val="00B42669"/>
    <w:rsid w:val="00B42C1D"/>
    <w:rsid w:val="00B55570"/>
    <w:rsid w:val="00B60EB4"/>
    <w:rsid w:val="00B6627F"/>
    <w:rsid w:val="00B72053"/>
    <w:rsid w:val="00B80E22"/>
    <w:rsid w:val="00B82716"/>
    <w:rsid w:val="00B83534"/>
    <w:rsid w:val="00B86DDC"/>
    <w:rsid w:val="00B9225C"/>
    <w:rsid w:val="00B93B73"/>
    <w:rsid w:val="00B97D92"/>
    <w:rsid w:val="00BA7018"/>
    <w:rsid w:val="00BA7A82"/>
    <w:rsid w:val="00BB0164"/>
    <w:rsid w:val="00BB788D"/>
    <w:rsid w:val="00BC4E88"/>
    <w:rsid w:val="00BC5E94"/>
    <w:rsid w:val="00BC6006"/>
    <w:rsid w:val="00BC6439"/>
    <w:rsid w:val="00BC7A89"/>
    <w:rsid w:val="00BD34BD"/>
    <w:rsid w:val="00BD5F96"/>
    <w:rsid w:val="00BD748F"/>
    <w:rsid w:val="00BD7EC7"/>
    <w:rsid w:val="00BE0CE0"/>
    <w:rsid w:val="00BF50FA"/>
    <w:rsid w:val="00C05227"/>
    <w:rsid w:val="00C20FE0"/>
    <w:rsid w:val="00C27F66"/>
    <w:rsid w:val="00C31140"/>
    <w:rsid w:val="00C33726"/>
    <w:rsid w:val="00C35909"/>
    <w:rsid w:val="00C36BB6"/>
    <w:rsid w:val="00C57036"/>
    <w:rsid w:val="00C607DF"/>
    <w:rsid w:val="00C61061"/>
    <w:rsid w:val="00C80D5F"/>
    <w:rsid w:val="00C8732E"/>
    <w:rsid w:val="00C91AF8"/>
    <w:rsid w:val="00C95AF8"/>
    <w:rsid w:val="00CA4446"/>
    <w:rsid w:val="00CA7659"/>
    <w:rsid w:val="00CD37FE"/>
    <w:rsid w:val="00CD7FD9"/>
    <w:rsid w:val="00CE3EC4"/>
    <w:rsid w:val="00CF2AD8"/>
    <w:rsid w:val="00D046B2"/>
    <w:rsid w:val="00D12265"/>
    <w:rsid w:val="00D20C17"/>
    <w:rsid w:val="00D21396"/>
    <w:rsid w:val="00D23112"/>
    <w:rsid w:val="00D24488"/>
    <w:rsid w:val="00D340D2"/>
    <w:rsid w:val="00D42E32"/>
    <w:rsid w:val="00D43FC4"/>
    <w:rsid w:val="00D46606"/>
    <w:rsid w:val="00D46E8B"/>
    <w:rsid w:val="00D50CF0"/>
    <w:rsid w:val="00D5438F"/>
    <w:rsid w:val="00D62F0D"/>
    <w:rsid w:val="00D71811"/>
    <w:rsid w:val="00D72CE9"/>
    <w:rsid w:val="00D82751"/>
    <w:rsid w:val="00D839A5"/>
    <w:rsid w:val="00D92DC5"/>
    <w:rsid w:val="00DA46E4"/>
    <w:rsid w:val="00DA4DD2"/>
    <w:rsid w:val="00DB49D1"/>
    <w:rsid w:val="00DC0D79"/>
    <w:rsid w:val="00DD49F8"/>
    <w:rsid w:val="00DD5296"/>
    <w:rsid w:val="00DE74A9"/>
    <w:rsid w:val="00DF0229"/>
    <w:rsid w:val="00DF19B6"/>
    <w:rsid w:val="00DF2C01"/>
    <w:rsid w:val="00DF7BA7"/>
    <w:rsid w:val="00E00EB3"/>
    <w:rsid w:val="00E048BC"/>
    <w:rsid w:val="00E10C70"/>
    <w:rsid w:val="00E13054"/>
    <w:rsid w:val="00E1609A"/>
    <w:rsid w:val="00E21D56"/>
    <w:rsid w:val="00E22614"/>
    <w:rsid w:val="00E26936"/>
    <w:rsid w:val="00E36EB9"/>
    <w:rsid w:val="00E56AD3"/>
    <w:rsid w:val="00E577D6"/>
    <w:rsid w:val="00E651B9"/>
    <w:rsid w:val="00E711F1"/>
    <w:rsid w:val="00E72125"/>
    <w:rsid w:val="00E80D0F"/>
    <w:rsid w:val="00E80D93"/>
    <w:rsid w:val="00E81ADA"/>
    <w:rsid w:val="00E84D1D"/>
    <w:rsid w:val="00E91DC5"/>
    <w:rsid w:val="00E940E9"/>
    <w:rsid w:val="00E96673"/>
    <w:rsid w:val="00E96C04"/>
    <w:rsid w:val="00E96FD0"/>
    <w:rsid w:val="00EA781E"/>
    <w:rsid w:val="00EB2C9D"/>
    <w:rsid w:val="00EB6374"/>
    <w:rsid w:val="00EC19C7"/>
    <w:rsid w:val="00EC6C8F"/>
    <w:rsid w:val="00ED4056"/>
    <w:rsid w:val="00EE2460"/>
    <w:rsid w:val="00EE49AD"/>
    <w:rsid w:val="00EE61EB"/>
    <w:rsid w:val="00EF7119"/>
    <w:rsid w:val="00F030D8"/>
    <w:rsid w:val="00F149A0"/>
    <w:rsid w:val="00F15355"/>
    <w:rsid w:val="00F22D26"/>
    <w:rsid w:val="00F23E9D"/>
    <w:rsid w:val="00F25421"/>
    <w:rsid w:val="00F36FB7"/>
    <w:rsid w:val="00F433A3"/>
    <w:rsid w:val="00F43835"/>
    <w:rsid w:val="00F52DCB"/>
    <w:rsid w:val="00F6132E"/>
    <w:rsid w:val="00F6531A"/>
    <w:rsid w:val="00F72858"/>
    <w:rsid w:val="00F74E41"/>
    <w:rsid w:val="00FA102A"/>
    <w:rsid w:val="00FA2853"/>
    <w:rsid w:val="00FA47C7"/>
    <w:rsid w:val="00FA5629"/>
    <w:rsid w:val="00FA693F"/>
    <w:rsid w:val="00FA6B4A"/>
    <w:rsid w:val="00FB2B6A"/>
    <w:rsid w:val="00FD08CD"/>
    <w:rsid w:val="00FD5559"/>
    <w:rsid w:val="00FE3C96"/>
    <w:rsid w:val="00FE44C7"/>
    <w:rsid w:val="00FF7F3D"/>
    <w:rsid w:val="02183757"/>
    <w:rsid w:val="02183BB1"/>
    <w:rsid w:val="03044901"/>
    <w:rsid w:val="03821772"/>
    <w:rsid w:val="05857A61"/>
    <w:rsid w:val="068337EB"/>
    <w:rsid w:val="06C453DB"/>
    <w:rsid w:val="071C688E"/>
    <w:rsid w:val="087910DE"/>
    <w:rsid w:val="089543BB"/>
    <w:rsid w:val="09616B2A"/>
    <w:rsid w:val="097F258D"/>
    <w:rsid w:val="0A4532DC"/>
    <w:rsid w:val="0A75644C"/>
    <w:rsid w:val="0B790748"/>
    <w:rsid w:val="0D2214BD"/>
    <w:rsid w:val="0D2E3ED3"/>
    <w:rsid w:val="0DCA63AF"/>
    <w:rsid w:val="0E520C3D"/>
    <w:rsid w:val="0E6A6A9D"/>
    <w:rsid w:val="10717EE8"/>
    <w:rsid w:val="10DB2EC7"/>
    <w:rsid w:val="12257070"/>
    <w:rsid w:val="135E5FEB"/>
    <w:rsid w:val="163377EF"/>
    <w:rsid w:val="16AA2630"/>
    <w:rsid w:val="180A26BC"/>
    <w:rsid w:val="184A278F"/>
    <w:rsid w:val="185502A0"/>
    <w:rsid w:val="195B3F20"/>
    <w:rsid w:val="1B726205"/>
    <w:rsid w:val="1BFABE70"/>
    <w:rsid w:val="1C40168A"/>
    <w:rsid w:val="1CAC6A5B"/>
    <w:rsid w:val="1DA02FE1"/>
    <w:rsid w:val="1EAF23DC"/>
    <w:rsid w:val="1F194FED"/>
    <w:rsid w:val="21764115"/>
    <w:rsid w:val="218A687E"/>
    <w:rsid w:val="218C1928"/>
    <w:rsid w:val="21BE2D6B"/>
    <w:rsid w:val="221563A4"/>
    <w:rsid w:val="22495FF0"/>
    <w:rsid w:val="224C78C3"/>
    <w:rsid w:val="225119A3"/>
    <w:rsid w:val="235C599A"/>
    <w:rsid w:val="24293121"/>
    <w:rsid w:val="25085EAD"/>
    <w:rsid w:val="2544717F"/>
    <w:rsid w:val="261A291E"/>
    <w:rsid w:val="26343CEA"/>
    <w:rsid w:val="26B65EF3"/>
    <w:rsid w:val="26BA6FC5"/>
    <w:rsid w:val="26BB5BF1"/>
    <w:rsid w:val="26DA7D9F"/>
    <w:rsid w:val="28E61694"/>
    <w:rsid w:val="2D906BCC"/>
    <w:rsid w:val="2DCC48F7"/>
    <w:rsid w:val="2E527AA2"/>
    <w:rsid w:val="2F9E4207"/>
    <w:rsid w:val="307F379F"/>
    <w:rsid w:val="31C43A7D"/>
    <w:rsid w:val="328838B6"/>
    <w:rsid w:val="32FDC5A7"/>
    <w:rsid w:val="331E5B27"/>
    <w:rsid w:val="34403A44"/>
    <w:rsid w:val="34ED74F2"/>
    <w:rsid w:val="351B7DDD"/>
    <w:rsid w:val="353D1687"/>
    <w:rsid w:val="357D877C"/>
    <w:rsid w:val="359A369F"/>
    <w:rsid w:val="36710F57"/>
    <w:rsid w:val="372E7AA8"/>
    <w:rsid w:val="379E3B0B"/>
    <w:rsid w:val="3AE368D4"/>
    <w:rsid w:val="3BDF6925"/>
    <w:rsid w:val="3BF43C71"/>
    <w:rsid w:val="3C3743BC"/>
    <w:rsid w:val="3CF45628"/>
    <w:rsid w:val="3DF228DD"/>
    <w:rsid w:val="3EFB20DE"/>
    <w:rsid w:val="3FF7C0F0"/>
    <w:rsid w:val="402A2865"/>
    <w:rsid w:val="404F36A0"/>
    <w:rsid w:val="424E5496"/>
    <w:rsid w:val="43126865"/>
    <w:rsid w:val="43EF39C7"/>
    <w:rsid w:val="444E5CDD"/>
    <w:rsid w:val="44E4041B"/>
    <w:rsid w:val="46687509"/>
    <w:rsid w:val="46A74EC1"/>
    <w:rsid w:val="4729002E"/>
    <w:rsid w:val="485E1AEF"/>
    <w:rsid w:val="48D03532"/>
    <w:rsid w:val="48D34B9A"/>
    <w:rsid w:val="49901227"/>
    <w:rsid w:val="49DD4FC6"/>
    <w:rsid w:val="49E13AFC"/>
    <w:rsid w:val="4AE6342B"/>
    <w:rsid w:val="4AFF30DE"/>
    <w:rsid w:val="4FF76480"/>
    <w:rsid w:val="50206CFF"/>
    <w:rsid w:val="50B45493"/>
    <w:rsid w:val="51A71458"/>
    <w:rsid w:val="51AB6952"/>
    <w:rsid w:val="54C17D1B"/>
    <w:rsid w:val="56BA5FEE"/>
    <w:rsid w:val="56E81906"/>
    <w:rsid w:val="57BE531B"/>
    <w:rsid w:val="59856CD7"/>
    <w:rsid w:val="598E3681"/>
    <w:rsid w:val="59BB0E7A"/>
    <w:rsid w:val="59C16A4B"/>
    <w:rsid w:val="5B745843"/>
    <w:rsid w:val="5BDF7B0E"/>
    <w:rsid w:val="5CAC14E4"/>
    <w:rsid w:val="5D73727E"/>
    <w:rsid w:val="5DC051A2"/>
    <w:rsid w:val="5DC71941"/>
    <w:rsid w:val="5E1A54D9"/>
    <w:rsid w:val="5E4A0350"/>
    <w:rsid w:val="5E5A5566"/>
    <w:rsid w:val="5E712F19"/>
    <w:rsid w:val="5F5C14DC"/>
    <w:rsid w:val="5FB73AA4"/>
    <w:rsid w:val="5FDF63B2"/>
    <w:rsid w:val="60222C6B"/>
    <w:rsid w:val="60600481"/>
    <w:rsid w:val="60B13992"/>
    <w:rsid w:val="623E6C46"/>
    <w:rsid w:val="64B748AA"/>
    <w:rsid w:val="65C97A31"/>
    <w:rsid w:val="65F95EE7"/>
    <w:rsid w:val="661D4A76"/>
    <w:rsid w:val="6948478B"/>
    <w:rsid w:val="6ACE1828"/>
    <w:rsid w:val="6BD535D0"/>
    <w:rsid w:val="6C0E7F3B"/>
    <w:rsid w:val="6CB7E603"/>
    <w:rsid w:val="6DEC6672"/>
    <w:rsid w:val="70226CA8"/>
    <w:rsid w:val="702D7FF3"/>
    <w:rsid w:val="70310186"/>
    <w:rsid w:val="709359BE"/>
    <w:rsid w:val="70B40791"/>
    <w:rsid w:val="7128420E"/>
    <w:rsid w:val="719C21C7"/>
    <w:rsid w:val="74602D62"/>
    <w:rsid w:val="7600473B"/>
    <w:rsid w:val="777DD7B3"/>
    <w:rsid w:val="778909AC"/>
    <w:rsid w:val="77E533DC"/>
    <w:rsid w:val="77ED21B3"/>
    <w:rsid w:val="79792195"/>
    <w:rsid w:val="7A4A43F0"/>
    <w:rsid w:val="7BF03CE7"/>
    <w:rsid w:val="7BFEED23"/>
    <w:rsid w:val="7C5C650E"/>
    <w:rsid w:val="7C66646B"/>
    <w:rsid w:val="7C813670"/>
    <w:rsid w:val="7C9E1AF3"/>
    <w:rsid w:val="7D1302B3"/>
    <w:rsid w:val="7EFFB8BA"/>
    <w:rsid w:val="7F044026"/>
    <w:rsid w:val="7F526CCC"/>
    <w:rsid w:val="7F760BA2"/>
    <w:rsid w:val="7FAE37C3"/>
    <w:rsid w:val="7FC5201F"/>
    <w:rsid w:val="7FEB70BB"/>
    <w:rsid w:val="7FF32C3D"/>
    <w:rsid w:val="7FFF0003"/>
    <w:rsid w:val="9BDFBAC1"/>
    <w:rsid w:val="9FFE08CA"/>
    <w:rsid w:val="A7FF0260"/>
    <w:rsid w:val="B5A72EF7"/>
    <w:rsid w:val="B7EFB124"/>
    <w:rsid w:val="BF7B228B"/>
    <w:rsid w:val="BFE736D8"/>
    <w:rsid w:val="C3EFF44C"/>
    <w:rsid w:val="DF3F520D"/>
    <w:rsid w:val="E87F6CD3"/>
    <w:rsid w:val="F2378767"/>
    <w:rsid w:val="FCFF73A2"/>
    <w:rsid w:val="FD9E20EE"/>
    <w:rsid w:val="FE9D67B6"/>
    <w:rsid w:val="FFFF2BE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spacing w:before="9"/>
      <w:ind w:left="1730"/>
      <w:outlineLvl w:val="0"/>
    </w:pPr>
    <w:rPr>
      <w:rFonts w:ascii="PMingLiU" w:hAnsi="PMingLiU" w:eastAsia="PMingLiU" w:cs="PMingLiU"/>
      <w:sz w:val="44"/>
      <w:szCs w:val="44"/>
    </w:rPr>
  </w:style>
  <w:style w:type="paragraph" w:styleId="2">
    <w:name w:val="heading 3"/>
    <w:basedOn w:val="1"/>
    <w:next w:val="1"/>
    <w:unhideWhenUsed/>
    <w:qFormat/>
    <w:uiPriority w:val="0"/>
    <w:pPr>
      <w:keepNext/>
      <w:keepLines/>
      <w:widowControl/>
      <w:spacing w:before="260" w:after="260" w:line="416" w:lineRule="auto"/>
      <w:outlineLvl w:val="2"/>
    </w:pPr>
    <w:rPr>
      <w:rFonts w:ascii="Calibri" w:hAnsi="Calibri"/>
      <w:b/>
      <w:bCs/>
      <w:kern w:val="0"/>
      <w:sz w:val="32"/>
      <w:szCs w:val="32"/>
      <w:lang w:eastAsia="en-US"/>
    </w:rPr>
  </w:style>
  <w:style w:type="character" w:default="1" w:styleId="13">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qFormat/>
    <w:uiPriority w:val="1"/>
    <w:rPr>
      <w:sz w:val="32"/>
      <w:szCs w:val="32"/>
    </w:rPr>
  </w:style>
  <w:style w:type="paragraph" w:styleId="6">
    <w:name w:val="Date"/>
    <w:basedOn w:val="1"/>
    <w:next w:val="1"/>
    <w:link w:val="20"/>
    <w:unhideWhenUsed/>
    <w:qFormat/>
    <w:uiPriority w:val="99"/>
    <w:pPr>
      <w:ind w:left="100" w:leftChars="2500"/>
    </w:pPr>
  </w:style>
  <w:style w:type="paragraph" w:styleId="7">
    <w:name w:val="Balloon Text"/>
    <w:basedOn w:val="1"/>
    <w:link w:val="19"/>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List Paragraph"/>
    <w:basedOn w:val="1"/>
    <w:qFormat/>
    <w:uiPriority w:val="34"/>
    <w:pPr>
      <w:ind w:firstLine="420" w:firstLineChars="200"/>
    </w:pPr>
  </w:style>
  <w:style w:type="character" w:customStyle="1" w:styleId="17">
    <w:name w:val="页眉 Char"/>
    <w:basedOn w:val="13"/>
    <w:link w:val="9"/>
    <w:qFormat/>
    <w:uiPriority w:val="99"/>
    <w:rPr>
      <w:sz w:val="18"/>
      <w:szCs w:val="18"/>
    </w:rPr>
  </w:style>
  <w:style w:type="character" w:customStyle="1" w:styleId="18">
    <w:name w:val="页脚 Char"/>
    <w:basedOn w:val="13"/>
    <w:link w:val="8"/>
    <w:qFormat/>
    <w:uiPriority w:val="99"/>
    <w:rPr>
      <w:sz w:val="18"/>
      <w:szCs w:val="18"/>
    </w:rPr>
  </w:style>
  <w:style w:type="character" w:customStyle="1" w:styleId="19">
    <w:name w:val="批注框文本 Char"/>
    <w:basedOn w:val="13"/>
    <w:link w:val="7"/>
    <w:semiHidden/>
    <w:qFormat/>
    <w:uiPriority w:val="99"/>
    <w:rPr>
      <w:sz w:val="18"/>
      <w:szCs w:val="18"/>
    </w:rPr>
  </w:style>
  <w:style w:type="character" w:customStyle="1" w:styleId="20">
    <w:name w:val="日期 Char"/>
    <w:basedOn w:val="13"/>
    <w:link w:val="6"/>
    <w:semiHidden/>
    <w:qFormat/>
    <w:uiPriority w:val="99"/>
    <w:rPr>
      <w:kern w:val="2"/>
      <w:sz w:val="21"/>
      <w:szCs w:val="22"/>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主标题"/>
    <w:next w:val="23"/>
    <w:qFormat/>
    <w:uiPriority w:val="0"/>
    <w:pPr>
      <w:spacing w:line="660" w:lineRule="exact"/>
      <w:jc w:val="center"/>
    </w:pPr>
    <w:rPr>
      <w:rFonts w:ascii="方正小标宋简体" w:hAnsi="方正小标宋简体" w:eastAsia="方正小标宋简体" w:cstheme="minorBidi"/>
      <w:b/>
      <w:kern w:val="2"/>
      <w:sz w:val="44"/>
      <w:szCs w:val="22"/>
      <w:lang w:val="en-US" w:eastAsia="zh-CN" w:bidi="ar-SA"/>
    </w:rPr>
  </w:style>
  <w:style w:type="paragraph" w:customStyle="1" w:styleId="23">
    <w:name w:val="报告正文"/>
    <w:qFormat/>
    <w:uiPriority w:val="0"/>
    <w:pPr>
      <w:spacing w:line="660" w:lineRule="exact"/>
      <w:ind w:firstLine="200" w:firstLineChars="200"/>
      <w:jc w:val="both"/>
    </w:pPr>
    <w:rPr>
      <w:rFonts w:ascii="仿宋_GB2312" w:hAnsi="仿宋_GB2312" w:eastAsia="仿宋_GB2312" w:cstheme="minorBidi"/>
      <w:kern w:val="2"/>
      <w:sz w:val="32"/>
      <w:szCs w:val="22"/>
      <w:lang w:val="en-US" w:eastAsia="zh-CN" w:bidi="ar-SA"/>
    </w:rPr>
  </w:style>
  <w:style w:type="paragraph" w:customStyle="1" w:styleId="24">
    <w:name w:val="一级标题"/>
    <w:next w:val="23"/>
    <w:qFormat/>
    <w:uiPriority w:val="0"/>
    <w:pPr>
      <w:numPr>
        <w:ilvl w:val="0"/>
        <w:numId w:val="1"/>
      </w:numPr>
      <w:spacing w:line="660" w:lineRule="exact"/>
      <w:jc w:val="both"/>
    </w:pPr>
    <w:rPr>
      <w:rFonts w:ascii="黑体" w:hAnsi="黑体" w:eastAsia="黑体" w:cstheme="minorBidi"/>
      <w:kern w:val="2"/>
      <w:sz w:val="32"/>
      <w:szCs w:val="22"/>
      <w:lang w:val="en-US" w:eastAsia="zh-CN" w:bidi="ar-SA"/>
    </w:rPr>
  </w:style>
  <w:style w:type="paragraph" w:customStyle="1" w:styleId="25">
    <w:name w:val="二级标题"/>
    <w:next w:val="23"/>
    <w:qFormat/>
    <w:uiPriority w:val="0"/>
    <w:pPr>
      <w:numPr>
        <w:ilvl w:val="1"/>
        <w:numId w:val="1"/>
      </w:numPr>
      <w:spacing w:line="660" w:lineRule="exact"/>
      <w:jc w:val="both"/>
    </w:pPr>
    <w:rPr>
      <w:rFonts w:ascii="楷体" w:hAnsi="楷体" w:eastAsia="楷体" w:cstheme="minorBidi"/>
      <w:b/>
      <w:kern w:val="2"/>
      <w:sz w:val="32"/>
      <w:szCs w:val="22"/>
      <w:lang w:val="en-US" w:eastAsia="zh-CN" w:bidi="ar-SA"/>
    </w:rPr>
  </w:style>
  <w:style w:type="paragraph" w:customStyle="1" w:styleId="26">
    <w:name w:val="表格"/>
    <w:next w:val="23"/>
    <w:qFormat/>
    <w:uiPriority w:val="0"/>
    <w:pPr>
      <w:jc w:val="center"/>
    </w:pPr>
    <w:rPr>
      <w:rFonts w:ascii="仿宋_GB2312" w:hAnsi="仿宋_GB2312" w:eastAsia="仿宋_GB2312" w:cstheme="minorBidi"/>
      <w:kern w:val="2"/>
      <w:sz w:val="24"/>
      <w:szCs w:val="22"/>
      <w:lang w:val="en-US" w:eastAsia="zh-CN" w:bidi="ar-SA"/>
    </w:rPr>
  </w:style>
  <w:style w:type="paragraph" w:customStyle="1" w:styleId="27">
    <w:name w:val="闻政正文"/>
    <w:qFormat/>
    <w:uiPriority w:val="99"/>
    <w:pPr>
      <w:widowControl w:val="0"/>
      <w:spacing w:line="500" w:lineRule="exact"/>
      <w:ind w:firstLine="640" w:firstLineChars="200"/>
      <w:jc w:val="both"/>
    </w:pPr>
    <w:rPr>
      <w:rFonts w:eastAsia="仿宋_GB2312" w:asciiTheme="minorHAnsi" w:hAnsiTheme="minorHAnsi" w:cstheme="minorBidi"/>
      <w:sz w:val="28"/>
      <w:szCs w:val="28"/>
      <w:lang w:val="en-US" w:eastAsia="zh-CN" w:bidi="ar-SA"/>
    </w:rPr>
  </w:style>
  <w:style w:type="character" w:customStyle="1" w:styleId="28">
    <w:name w:val="font11"/>
    <w:basedOn w:val="13"/>
    <w:qFormat/>
    <w:uiPriority w:val="0"/>
    <w:rPr>
      <w:rFonts w:hint="default" w:ascii="仿宋_GB2312" w:eastAsia="仿宋_GB2312" w:cs="仿宋_GB2312"/>
      <w:color w:val="000000"/>
      <w:sz w:val="32"/>
      <w:szCs w:val="32"/>
      <w:u w:val="none"/>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character" w:customStyle="1" w:styleId="30">
    <w:name w:val="font31"/>
    <w:basedOn w:val="13"/>
    <w:qFormat/>
    <w:uiPriority w:val="0"/>
    <w:rPr>
      <w:rFonts w:hint="eastAsia" w:ascii="宋体" w:hAnsi="宋体" w:eastAsia="宋体" w:cs="宋体"/>
      <w:color w:val="000000"/>
      <w:sz w:val="21"/>
      <w:szCs w:val="21"/>
      <w:u w:val="none"/>
    </w:rPr>
  </w:style>
  <w:style w:type="character" w:customStyle="1" w:styleId="31">
    <w:name w:val="font51"/>
    <w:basedOn w:val="13"/>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14837</Words>
  <Characters>15649</Characters>
  <Lines>31</Lines>
  <Paragraphs>8</Paragraphs>
  <ScaleCrop>false</ScaleCrop>
  <LinksUpToDate>false</LinksUpToDate>
  <CharactersWithSpaces>15867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2020-03-01T11:35:00Z</dcterms:created>
  <dc:creator>lenovo</dc:creator>
  <cp:lastModifiedBy>lenovo</cp:lastModifiedBy>
  <cp:lastPrinted>2022-08-23T02:37:05Z</cp:lastPrinted>
  <dcterms:modified xsi:type="dcterms:W3CDTF">2022-08-23T04:21:54Z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91B4EFAEECD7442EBDFE875D09297156</vt:lpwstr>
  </property>
</Properties>
</file>