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default" w:ascii="Times New Roman" w:hAnsi="Times New Roman" w:eastAsia="华文中宋" w:cs="Times New Roman"/>
          <w:sz w:val="32"/>
          <w:szCs w:val="32"/>
        </w:rPr>
      </w:pPr>
      <w:r>
        <w:rPr>
          <w:rFonts w:hint="default" w:ascii="Times New Roman" w:hAnsi="Times New Roman" w:eastAsia="华文中宋" w:cs="Times New Roman"/>
          <w:sz w:val="32"/>
          <w:szCs w:val="32"/>
        </w:rPr>
        <w:t>2021年度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华文中宋" w:hAnsi="华文中宋" w:eastAsia="华文中宋" w:cs="华文中宋"/>
          <w:sz w:val="32"/>
          <w:szCs w:val="32"/>
        </w:rPr>
      </w:pPr>
      <w:r>
        <w:rPr>
          <w:rFonts w:hint="default" w:ascii="Times New Roman" w:hAnsi="Times New Roman" w:eastAsia="华文中宋" w:cs="Times New Roman"/>
          <w:sz w:val="32"/>
          <w:szCs w:val="32"/>
        </w:rPr>
        <w:t>甘肃省人大常委会办公厅（本级）部门决算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目录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sz w:val="32"/>
          <w:szCs w:val="32"/>
        </w:rPr>
        <w:t>第一部分 部门概括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sz w:val="32"/>
          <w:szCs w:val="32"/>
        </w:rPr>
        <w:t>第二部分 2021年度部门决算表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黑体" w:hAnsi="黑体" w:eastAsia="黑体" w:cs="黑体"/>
          <w:b w:val="0"/>
          <w:bCs/>
          <w:sz w:val="32"/>
          <w:szCs w:val="32"/>
        </w:rPr>
        <w:t>第三部分 2021年度部门决算情况说明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九、政府采购支出情况说明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十、国有资产占用情况说明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十一、政府性基金预算财政拨款收支决算情况说明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十二、国有资本经营预算财政拨款支出情况说明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十三、预算绩效情况说明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sz w:val="32"/>
          <w:szCs w:val="32"/>
        </w:rPr>
        <w:t>第四部分 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Style w:val="5"/>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华文中宋" w:hAnsi="华文中宋" w:eastAsia="华文中宋" w:cs="华文中宋"/>
          <w:b w:val="0"/>
          <w:bCs/>
          <w:sz w:val="32"/>
          <w:szCs w:val="32"/>
        </w:rPr>
      </w:pPr>
      <w:r>
        <w:rPr>
          <w:rStyle w:val="5"/>
          <w:rFonts w:hint="eastAsia" w:ascii="华文中宋" w:hAnsi="华文中宋" w:eastAsia="华文中宋" w:cs="华文中宋"/>
          <w:b w:val="0"/>
          <w:bCs/>
          <w:sz w:val="32"/>
          <w:szCs w:val="32"/>
        </w:rPr>
        <w:t>第一部分 部门概括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一、部门职责</w:t>
      </w:r>
    </w:p>
    <w:p>
      <w:pPr>
        <w:pStyle w:val="7"/>
        <w:keepNext w:val="0"/>
        <w:keepLines w:val="0"/>
        <w:widowControl/>
        <w:suppressLineNumbers w:val="0"/>
        <w:autoSpaceDE w:val="0"/>
        <w:autoSpaceDN/>
        <w:spacing w:before="0" w:beforeAutospacing="0" w:after="0" w:afterAutospacing="0" w:line="640" w:lineRule="exact"/>
        <w:ind w:left="0" w:leftChars="0" w:right="0" w:rightChars="0" w:firstLine="0" w:firstLineChars="0"/>
        <w:rPr>
          <w:rFonts w:hint="eastAsia" w:ascii="仿宋_GB2312" w:hAnsi="Times New Roman" w:eastAsia="仿宋_GB2312" w:cs="仿宋_GB2312"/>
          <w:kern w:val="0"/>
          <w:sz w:val="32"/>
          <w:szCs w:val="32"/>
        </w:rPr>
      </w:pPr>
      <w:r>
        <w:rPr>
          <w:rFonts w:hint="eastAsia" w:ascii="仿宋_GB2312" w:cs="仿宋_GB2312"/>
          <w:kern w:val="0"/>
          <w:sz w:val="32"/>
          <w:szCs w:val="32"/>
          <w:lang w:val="en-US" w:eastAsia="zh-CN"/>
        </w:rPr>
        <w:t xml:space="preserve">    </w:t>
      </w:r>
      <w:r>
        <w:rPr>
          <w:rFonts w:hint="eastAsia" w:ascii="仿宋_GB2312" w:hAnsi="Times New Roman" w:eastAsia="仿宋_GB2312" w:cs="仿宋_GB2312"/>
          <w:kern w:val="0"/>
          <w:sz w:val="32"/>
          <w:szCs w:val="32"/>
        </w:rPr>
        <w:t>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二、机构设置</w:t>
      </w:r>
    </w:p>
    <w:p>
      <w:pPr>
        <w:pStyle w:val="7"/>
        <w:keepNext w:val="0"/>
        <w:keepLines w:val="0"/>
        <w:widowControl/>
        <w:suppressLineNumbers w:val="0"/>
        <w:autoSpaceDE w:val="0"/>
        <w:autoSpaceDN/>
        <w:spacing w:before="0" w:beforeAutospacing="0" w:after="0" w:afterAutospacing="0" w:line="620" w:lineRule="exact"/>
        <w:ind w:left="0" w:leftChars="0" w:right="0" w:rightChars="0" w:firstLine="0" w:firstLineChars="0"/>
        <w:jc w:val="both"/>
        <w:rPr>
          <w:rFonts w:hint="default" w:ascii="Times New Roman" w:hAnsi="Times New Roman" w:eastAsia="仿宋_GB2312" w:cs="Times New Roman"/>
          <w:kern w:val="0"/>
          <w:sz w:val="32"/>
          <w:szCs w:val="32"/>
        </w:rPr>
      </w:pPr>
      <w:r>
        <w:rPr>
          <w:rFonts w:hint="eastAsia"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甘肃省人大常委会</w:t>
      </w:r>
      <w:r>
        <w:rPr>
          <w:rFonts w:hint="eastAsia" w:ascii="仿宋_GB2312" w:hAnsi="Times New Roman" w:eastAsia="仿宋_GB2312" w:cs="仿宋_GB2312"/>
          <w:color w:val="000000"/>
          <w:kern w:val="0"/>
          <w:sz w:val="32"/>
          <w:szCs w:val="32"/>
        </w:rPr>
        <w:t>机关内设机构11个，分别为：办公厅</w:t>
      </w:r>
      <w:r>
        <w:rPr>
          <w:rFonts w:hint="eastAsia" w:ascii="仿宋_GB2312" w:hAnsi="Times New Roman" w:eastAsia="仿宋_GB2312" w:cs="仿宋_GB2312"/>
          <w:kern w:val="0"/>
          <w:sz w:val="32"/>
          <w:szCs w:val="32"/>
        </w:rPr>
        <w:t>、研究室、法制工作委员会、代表人事工作委员会、民族侨务工作委员会、监察和司法工作委员会、财经预算工作委员会、农业与农村工作委员会、教科文卫工作委员会、环境资源保护工作委员会、社会建设工作委员会。内设二级机构（处室）36个，分别为：办公厅秘书处、综合处、人事处、文档处、信访室（加挂省人大常委会机关总值班室牌子）、老干部工作处、行政保卫处、接待处、宣传信息处；机关党委；机关纪委；机关工会；研究室综合处、调查研究处；代表工作委员会综合处、代表联络处、选举任免处、议案督查处；法制工作委员会综合处、法规一处、法规二处、备案审查处；民族侨务工作委员会综合处、法规处；监察和司法工作委员会综合处、司法监督处；财经预算工作委员会综合处、预算审查监督处；农业与农村工作委员会综合处、农业监督处；教科文卫工作委员会综合处、教科文卫处；环境资源保护工作委员会综合处、环境保护监督处；社会建设工作委员会综合处、社会监督处。</w:t>
      </w:r>
    </w:p>
    <w:p>
      <w:pPr>
        <w:keepNext w:val="0"/>
        <w:keepLines w:val="0"/>
        <w:widowControl/>
        <w:suppressLineNumbers w:val="0"/>
        <w:autoSpaceDE w:val="0"/>
        <w:autoSpaceDN/>
        <w:spacing w:before="0" w:beforeAutospacing="0" w:after="0" w:afterAutospacing="0" w:line="620" w:lineRule="exact"/>
        <w:ind w:left="0" w:leftChars="0" w:right="0" w:rightChars="0" w:firstLine="640" w:firstLineChars="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直属事业单位</w:t>
      </w:r>
      <w:r>
        <w:rPr>
          <w:rFonts w:hint="eastAsia" w:ascii="仿宋_GB2312" w:hAnsi="宋体" w:eastAsia="仿宋_GB2312" w:cs="仿宋_GB2312"/>
          <w:color w:val="000000"/>
          <w:kern w:val="0"/>
          <w:sz w:val="32"/>
          <w:szCs w:val="32"/>
        </w:rPr>
        <w:t>4个，分别为：甘肃省人大常委会《人民之声》报社，县处级级别，全额拨款事业单位；甘肃省人大常委会《人大研究》杂志社，县处级级别，全额拨款事业单位；甘肃省人大常委会机关后勤服务中心，县处级级别，全额拨款事业单位；甘肃省人大</w:t>
      </w:r>
      <w:r>
        <w:rPr>
          <w:rFonts w:hint="eastAsia" w:ascii="仿宋_GB2312" w:hAnsi="宋体" w:eastAsia="仿宋_GB2312" w:cs="仿宋_GB2312"/>
          <w:kern w:val="0"/>
          <w:sz w:val="32"/>
          <w:szCs w:val="32"/>
        </w:rPr>
        <w:t>常委会机关信息中心，县处级级别，全额拨款事业单位。</w:t>
      </w:r>
    </w:p>
    <w:p>
      <w:pPr>
        <w:keepNext w:val="0"/>
        <w:keepLines w:val="0"/>
        <w:widowControl/>
        <w:suppressLineNumbers w:val="0"/>
        <w:autoSpaceDE w:val="0"/>
        <w:autoSpaceDN/>
        <w:spacing w:before="0" w:beforeAutospacing="0" w:after="0" w:afterAutospacing="0" w:line="620" w:lineRule="exact"/>
        <w:ind w:right="0" w:rightChars="0"/>
        <w:jc w:val="center"/>
        <w:rPr>
          <w:rFonts w:hint="default" w:ascii="Times New Roman" w:hAnsi="Times New Roman" w:eastAsia="华文中宋" w:cs="Times New Roman"/>
          <w:b w:val="0"/>
          <w:bCs/>
          <w:sz w:val="32"/>
          <w:szCs w:val="32"/>
        </w:rPr>
      </w:pPr>
      <w:r>
        <w:rPr>
          <w:rStyle w:val="5"/>
          <w:rFonts w:hint="default" w:ascii="Times New Roman" w:hAnsi="Times New Roman" w:eastAsia="华文中宋" w:cs="Times New Roman"/>
          <w:b w:val="0"/>
          <w:bCs/>
          <w:sz w:val="32"/>
          <w:szCs w:val="32"/>
        </w:rPr>
        <w:t>第二部分 2021年度部门决算表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二、收入决算表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四、财政拨款收入支出决算总表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五、一般公共预算财政拨款支出决算表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六、一般公共预算财政拨款基本支出决算表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八、政府性基金预算财政拨款收入支出决算表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九、国有资本经营预算财政拨款支出决算表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Times New Roman" w:hAnsi="Times New Roman" w:eastAsia="仿宋_GB2312" w:cs="Times New Roman"/>
          <w:kern w:val="0"/>
          <w:sz w:val="32"/>
          <w:szCs w:val="32"/>
          <w:shd w:val="clear" w:fill="FFFFFF"/>
        </w:rPr>
      </w:pPr>
      <w:r>
        <w:rPr>
          <w:rFonts w:hint="eastAsia" w:ascii="Times New Roman" w:hAnsi="Times New Roman" w:eastAsia="仿宋_GB2312" w:cs="Times New Roman"/>
          <w:kern w:val="0"/>
          <w:sz w:val="32"/>
          <w:szCs w:val="32"/>
          <w:shd w:val="clear" w:fill="FFFFFF"/>
        </w:rPr>
        <w:t>（注：具体报表，见附件</w:t>
      </w:r>
      <w:r>
        <w:rPr>
          <w:rFonts w:hint="eastAsia" w:ascii="Times New Roman" w:hAnsi="Times New Roman" w:eastAsia="仿宋_GB2312" w:cs="Times New Roman"/>
          <w:kern w:val="0"/>
          <w:sz w:val="32"/>
          <w:szCs w:val="32"/>
          <w:shd w:val="clear" w:fill="FFFFFF"/>
          <w:lang w:val="en-US" w:eastAsia="zh-CN"/>
        </w:rPr>
        <w:t>8</w:t>
      </w:r>
      <w:bookmarkStart w:id="0" w:name="_GoBack"/>
      <w:bookmarkEnd w:id="0"/>
      <w:r>
        <w:rPr>
          <w:rFonts w:hint="eastAsia" w:ascii="Times New Roman" w:hAnsi="Times New Roman" w:eastAsia="仿宋_GB2312" w:cs="Times New Roman"/>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default" w:ascii="Times New Roman" w:hAnsi="Times New Roman" w:eastAsia="华文中宋" w:cs="Times New Roman"/>
          <w:b w:val="0"/>
          <w:bCs/>
          <w:sz w:val="32"/>
          <w:szCs w:val="32"/>
        </w:rPr>
      </w:pPr>
      <w:r>
        <w:rPr>
          <w:rStyle w:val="5"/>
          <w:rFonts w:hint="default" w:ascii="Times New Roman" w:hAnsi="Times New Roman" w:eastAsia="华文中宋" w:cs="Times New Roman"/>
          <w:b w:val="0"/>
          <w:bCs/>
          <w:sz w:val="32"/>
          <w:szCs w:val="32"/>
        </w:rPr>
        <w:t>第三部分 2021年度部门决算情况说明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2021年度收、支总计11,598.40万元。收、支较上年决算数增加861.86万元,增长8.03%,主要原因是</w:t>
      </w:r>
      <w:r>
        <w:rPr>
          <w:rFonts w:hint="eastAsia" w:ascii="仿宋_GB2312" w:hAnsi="仿宋_GB2312" w:eastAsia="仿宋_GB2312" w:cs="仿宋_GB2312"/>
          <w:sz w:val="32"/>
          <w:szCs w:val="32"/>
          <w:lang w:eastAsia="zh-CN"/>
        </w:rPr>
        <w:t>年中追加预算</w:t>
      </w:r>
      <w:r>
        <w:rPr>
          <w:rFonts w:hint="eastAsia" w:ascii="仿宋_GB2312" w:hAnsi="仿宋_GB2312" w:eastAsia="仿宋_GB2312" w:cs="仿宋_GB2312"/>
          <w:sz w:val="32"/>
          <w:szCs w:val="32"/>
          <w:lang w:val="en-US" w:eastAsia="zh-CN"/>
        </w:rPr>
        <w:t>：1、“电子公文系统安全可靠替代工程”专项经费；2、省十三届人大五次会议经费；3、全省县乡人大换届经费。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二、收入决算情况说明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2021年度收入合计10,744.81万元，其中：一般公共预算财政拨款收入10,674.31万元，占99.34%；其他收入70.50万元，占0.66%。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2021年度支出合计9,221.28万元，其中：基本支出6,009.82万元，占65.17%；项目支出 3,211.46万元，占34.83%。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四、财政拨款收入支出决算总体情况说明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2021年度财政拨款收、支总计11,527.90万元。与2020年相比，财政拨款收、支总计各增加883.22万元，增长8.30%。主要原因是</w:t>
      </w:r>
      <w:r>
        <w:rPr>
          <w:rFonts w:hint="eastAsia" w:ascii="仿宋_GB2312" w:hAnsi="仿宋_GB2312" w:eastAsia="仿宋_GB2312" w:cs="仿宋_GB2312"/>
          <w:sz w:val="32"/>
          <w:szCs w:val="32"/>
          <w:lang w:eastAsia="zh-CN"/>
        </w:rPr>
        <w:t>年中追加预算</w:t>
      </w:r>
      <w:r>
        <w:rPr>
          <w:rFonts w:hint="eastAsia" w:ascii="仿宋_GB2312" w:hAnsi="仿宋_GB2312" w:eastAsia="仿宋_GB2312" w:cs="仿宋_GB2312"/>
          <w:sz w:val="32"/>
          <w:szCs w:val="32"/>
          <w:lang w:val="en-US" w:eastAsia="zh-CN"/>
        </w:rPr>
        <w:t>：1、“电子公文系统安全可靠替代工程”专项经费；2、省十三届人大五次会议经费；3、全省县乡人大换届经费。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五、一般公共预算财政拨款支出决算情况说明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2021年度一般公共预算财政拨款支出9,150.78万元，占本年支出的99.24%，较上年决算数减少511.20万元，下降5.29%。主要原因是</w:t>
      </w:r>
      <w:r>
        <w:rPr>
          <w:rFonts w:hint="eastAsia" w:ascii="Times New Roman" w:hAnsi="Times New Roman" w:eastAsia="仿宋_GB2312" w:cs="Times New Roman"/>
          <w:kern w:val="0"/>
          <w:sz w:val="32"/>
          <w:szCs w:val="32"/>
          <w:shd w:val="clear" w:fill="FFFFFF"/>
        </w:rPr>
        <w:t>受疫情影响，</w:t>
      </w:r>
      <w:r>
        <w:rPr>
          <w:rFonts w:hint="eastAsia" w:ascii="Times New Roman" w:hAnsi="Times New Roman" w:eastAsia="仿宋_GB2312" w:cs="Times New Roman"/>
          <w:kern w:val="0"/>
          <w:sz w:val="32"/>
          <w:szCs w:val="32"/>
          <w:shd w:val="clear" w:fill="FFFFFF"/>
          <w:lang w:eastAsia="zh-CN"/>
        </w:rPr>
        <w:t>培训、会议等活动减少，规模压缩，外出</w:t>
      </w:r>
      <w:r>
        <w:rPr>
          <w:rFonts w:hint="eastAsia" w:ascii="Times New Roman" w:hAnsi="Times New Roman" w:eastAsia="仿宋_GB2312" w:cs="Times New Roman"/>
          <w:kern w:val="0"/>
          <w:sz w:val="32"/>
          <w:szCs w:val="32"/>
          <w:shd w:val="clear" w:fill="FFFFFF"/>
        </w:rPr>
        <w:t>工作任务减少</w:t>
      </w:r>
      <w:r>
        <w:rPr>
          <w:rFonts w:hint="eastAsia" w:ascii="仿宋_GB2312" w:hAnsi="仿宋_GB2312" w:eastAsia="仿宋_GB2312" w:cs="仿宋_GB2312"/>
          <w:sz w:val="32"/>
          <w:szCs w:val="32"/>
        </w:rPr>
        <w:t>。主要用于以下几个方面：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1．一般公共服务支出</w:t>
      </w:r>
      <w:r>
        <w:rPr>
          <w:rFonts w:hint="eastAsia" w:ascii="仿宋_GB2312" w:hAnsi="仿宋_GB2312" w:eastAsia="仿宋_GB2312" w:cs="仿宋_GB2312"/>
          <w:sz w:val="32"/>
          <w:szCs w:val="32"/>
        </w:rPr>
        <w:t>年初预算数为8,360.44万元，支出决算为8,025.56万元，完成年初预算的95.99%,决算数小于预算数的主要原因是受疫</w:t>
      </w:r>
      <w:r>
        <w:rPr>
          <w:rFonts w:hint="eastAsia" w:ascii="Times New Roman" w:hAnsi="Times New Roman" w:eastAsia="仿宋_GB2312" w:cs="Times New Roman"/>
          <w:kern w:val="0"/>
          <w:sz w:val="32"/>
          <w:szCs w:val="32"/>
          <w:shd w:val="clear" w:fill="FFFFFF"/>
        </w:rPr>
        <w:t>情影响，</w:t>
      </w:r>
      <w:r>
        <w:rPr>
          <w:rFonts w:hint="eastAsia" w:ascii="Times New Roman" w:hAnsi="Times New Roman" w:eastAsia="仿宋_GB2312" w:cs="Times New Roman"/>
          <w:kern w:val="0"/>
          <w:sz w:val="32"/>
          <w:szCs w:val="32"/>
          <w:shd w:val="clear" w:fill="FFFFFF"/>
          <w:lang w:eastAsia="zh-CN"/>
        </w:rPr>
        <w:t>培训、会议等活动减少，规模压缩，外出</w:t>
      </w:r>
      <w:r>
        <w:rPr>
          <w:rFonts w:hint="eastAsia" w:ascii="Times New Roman" w:hAnsi="Times New Roman" w:eastAsia="仿宋_GB2312" w:cs="Times New Roman"/>
          <w:kern w:val="0"/>
          <w:sz w:val="32"/>
          <w:szCs w:val="32"/>
          <w:shd w:val="clear" w:fill="FFFFFF"/>
        </w:rPr>
        <w:t>工作任务减</w:t>
      </w:r>
      <w:r>
        <w:rPr>
          <w:rFonts w:hint="eastAsia" w:ascii="仿宋_GB2312" w:hAnsi="仿宋_GB2312" w:eastAsia="仿宋_GB2312" w:cs="仿宋_GB2312"/>
          <w:sz w:val="32"/>
          <w:szCs w:val="32"/>
        </w:rPr>
        <w:t>少</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2．社会保障和就业支出</w:t>
      </w:r>
      <w:r>
        <w:rPr>
          <w:rFonts w:hint="eastAsia" w:ascii="仿宋_GB2312" w:hAnsi="仿宋_GB2312" w:eastAsia="仿宋_GB2312" w:cs="仿宋_GB2312"/>
          <w:sz w:val="32"/>
          <w:szCs w:val="32"/>
        </w:rPr>
        <w:t>年初预算数为502.53万元，支出决算为514.31万元，完成年初预算的102.34%,决算数大于预算数的主要原因是</w:t>
      </w:r>
      <w:r>
        <w:rPr>
          <w:rFonts w:hint="eastAsia" w:ascii="Times New Roman" w:hAnsi="Times New Roman" w:eastAsia="仿宋_GB2312" w:cs="Times New Roman"/>
          <w:kern w:val="0"/>
          <w:sz w:val="32"/>
          <w:szCs w:val="32"/>
          <w:shd w:val="clear" w:fill="FFFFFF"/>
        </w:rPr>
        <w:t>人员变动因素</w:t>
      </w:r>
      <w:r>
        <w:rPr>
          <w:rFonts w:hint="eastAsia" w:ascii="Times New Roman" w:hAnsi="Times New Roman" w:eastAsia="仿宋_GB2312" w:cs="Times New Roman"/>
          <w:kern w:val="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3</w:t>
      </w:r>
      <w:r>
        <w:rPr>
          <w:rStyle w:val="5"/>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rPr>
        <w:t>年初预算数为317.92万元，支出决算为327.74万元，完成年初预算的103.09%,决算数大于预算数的主要原因是</w:t>
      </w:r>
      <w:r>
        <w:rPr>
          <w:rFonts w:hint="eastAsia" w:ascii="Times New Roman" w:hAnsi="Times New Roman" w:eastAsia="仿宋_GB2312" w:cs="Times New Roman"/>
          <w:kern w:val="0"/>
          <w:sz w:val="32"/>
          <w:szCs w:val="32"/>
          <w:shd w:val="clear" w:fill="FFFFFF"/>
        </w:rPr>
        <w:t>人员变动因素</w:t>
      </w:r>
      <w:r>
        <w:rPr>
          <w:rFonts w:hint="eastAsia" w:ascii="Times New Roman" w:hAnsi="Times New Roman" w:eastAsia="仿宋_GB2312" w:cs="Times New Roman"/>
          <w:kern w:val="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4</w:t>
      </w:r>
      <w:r>
        <w:rPr>
          <w:rStyle w:val="5"/>
          <w:rFonts w:hint="eastAsia" w:ascii="仿宋_GB2312" w:hAnsi="仿宋_GB2312" w:eastAsia="仿宋_GB2312" w:cs="仿宋_GB2312"/>
          <w:sz w:val="32"/>
          <w:szCs w:val="32"/>
        </w:rPr>
        <w:t>．节能环保支出</w:t>
      </w:r>
      <w:r>
        <w:rPr>
          <w:rFonts w:hint="eastAsia" w:ascii="仿宋_GB2312" w:hAnsi="仿宋_GB2312" w:eastAsia="仿宋_GB2312" w:cs="仿宋_GB2312"/>
          <w:sz w:val="32"/>
          <w:szCs w:val="32"/>
        </w:rPr>
        <w:t>年初预算数为0.00万元，</w:t>
      </w:r>
      <w:r>
        <w:rPr>
          <w:rFonts w:hint="eastAsia" w:ascii="仿宋_GB2312" w:hAnsi="仿宋_GB2312" w:eastAsia="仿宋_GB2312" w:cs="仿宋_GB2312"/>
          <w:sz w:val="32"/>
          <w:szCs w:val="32"/>
          <w:lang w:eastAsia="zh-CN"/>
        </w:rPr>
        <w:t>年中追加预算数为</w:t>
      </w:r>
      <w:r>
        <w:rPr>
          <w:rFonts w:hint="eastAsia" w:ascii="仿宋_GB2312" w:hAnsi="仿宋_GB2312" w:eastAsia="仿宋_GB2312" w:cs="仿宋_GB2312"/>
          <w:sz w:val="32"/>
          <w:szCs w:val="32"/>
        </w:rPr>
        <w:t>20.00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支出决算为20.00万元，完成年初预算的100.00%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持平。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5</w:t>
      </w:r>
      <w:r>
        <w:rPr>
          <w:rStyle w:val="5"/>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rPr>
        <w:t>年初预算数为263.18万元，支出决算为263.18万元，完成年初预算的100.00%,决算数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持平。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六、一般公共预算财政拨款基本支出决算情况说明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2021年度一般公共预算财政拨款基本支出5,939.32万元。其中：</w:t>
      </w:r>
      <w:r>
        <w:rPr>
          <w:rStyle w:val="5"/>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rPr>
        <w:t>4,248.71万元，较上年决算数减少444.65万元，下降9.47%，</w:t>
      </w:r>
      <w:r>
        <w:rPr>
          <w:rFonts w:hint="eastAsia" w:ascii="Times New Roman" w:hAnsi="Times New Roman" w:eastAsia="仿宋_GB2312" w:cs="Times New Roman"/>
          <w:kern w:val="0"/>
          <w:sz w:val="32"/>
          <w:szCs w:val="32"/>
          <w:shd w:val="clear" w:fill="FFFFFF"/>
        </w:rPr>
        <w:t>主要原因是</w:t>
      </w:r>
      <w:r>
        <w:rPr>
          <w:rFonts w:hint="eastAsia" w:ascii="Times New Roman" w:hAnsi="Times New Roman" w:eastAsia="仿宋_GB2312" w:cs="Times New Roman"/>
          <w:kern w:val="0"/>
          <w:sz w:val="32"/>
          <w:szCs w:val="32"/>
          <w:shd w:val="clear" w:fill="FFFFFF"/>
          <w:lang w:eastAsia="zh-CN"/>
        </w:rPr>
        <w:t>部</w:t>
      </w:r>
      <w:r>
        <w:rPr>
          <w:rFonts w:hint="eastAsia" w:ascii="仿宋_GB2312" w:hAnsi="仿宋_GB2312" w:eastAsia="仿宋_GB2312" w:cs="仿宋_GB2312"/>
          <w:sz w:val="32"/>
          <w:szCs w:val="32"/>
          <w:lang w:eastAsia="zh-CN"/>
        </w:rPr>
        <w:t>分津贴补贴于</w:t>
      </w:r>
      <w:r>
        <w:rPr>
          <w:rFonts w:hint="eastAsia" w:ascii="仿宋_GB2312" w:hAnsi="仿宋_GB2312" w:eastAsia="仿宋_GB2312" w:cs="仿宋_GB2312"/>
          <w:sz w:val="32"/>
          <w:szCs w:val="32"/>
          <w:lang w:val="en-US" w:eastAsia="zh-CN"/>
        </w:rPr>
        <w:t>2022年年初发放。</w:t>
      </w:r>
      <w:r>
        <w:rPr>
          <w:rFonts w:hint="eastAsia" w:ascii="仿宋_GB2312" w:hAnsi="仿宋_GB2312" w:eastAsia="仿宋_GB2312" w:cs="仿宋_GB2312"/>
          <w:sz w:val="32"/>
          <w:szCs w:val="32"/>
        </w:rPr>
        <w:t>人员经费用途主要</w:t>
      </w:r>
      <w:r>
        <w:rPr>
          <w:rFonts w:hint="default" w:ascii="Times New Roman" w:hAnsi="Times New Roman" w:eastAsia="仿宋_GB2312" w:cs="Times New Roman"/>
          <w:kern w:val="0"/>
          <w:sz w:val="32"/>
          <w:szCs w:val="32"/>
          <w:shd w:val="clear" w:fill="FFFFFF"/>
        </w:rPr>
        <w:t>包括基本工资、津贴补贴、奖金、绩效工资、机关事业单位</w:t>
      </w:r>
      <w:r>
        <w:rPr>
          <w:rFonts w:hint="eastAsia" w:ascii="Times New Roman" w:hAnsi="Times New Roman" w:eastAsia="仿宋_GB2312" w:cs="Times New Roman"/>
          <w:kern w:val="0"/>
          <w:sz w:val="32"/>
          <w:szCs w:val="32"/>
          <w:shd w:val="clear" w:fill="FFFFFF"/>
        </w:rPr>
        <w:t>基本</w:t>
      </w:r>
      <w:r>
        <w:rPr>
          <w:rFonts w:hint="default" w:ascii="Times New Roman" w:hAnsi="Times New Roman" w:eastAsia="仿宋_GB2312" w:cs="Times New Roman"/>
          <w:kern w:val="0"/>
          <w:sz w:val="32"/>
          <w:szCs w:val="32"/>
          <w:shd w:val="clear" w:fill="FFFFFF"/>
        </w:rPr>
        <w:t>养老保险缴费、职业年金缴费、职工基本医疗保险缴费、公务员医疗补助缴费、医疗费、住房公积金、社会保障缴费等人员支出。</w:t>
      </w:r>
      <w:r>
        <w:rPr>
          <w:rStyle w:val="5"/>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rPr>
        <w:t>1,690.61万元，较上年决算数减少148.85万元，下降8.09%，主要原因是常委会</w:t>
      </w:r>
      <w:r>
        <w:rPr>
          <w:rFonts w:hint="eastAsia" w:ascii="Times New Roman" w:hAnsi="Times New Roman" w:eastAsia="仿宋_GB2312" w:cs="Times New Roman"/>
          <w:kern w:val="0"/>
          <w:sz w:val="32"/>
          <w:szCs w:val="32"/>
          <w:shd w:val="clear" w:fill="FFFFFF"/>
        </w:rPr>
        <w:t>机关</w:t>
      </w:r>
      <w:r>
        <w:rPr>
          <w:rFonts w:hint="eastAsia" w:ascii="Times New Roman" w:hAnsi="Times New Roman" w:eastAsia="仿宋_GB2312" w:cs="Times New Roman"/>
          <w:kern w:val="0"/>
          <w:sz w:val="32"/>
          <w:szCs w:val="32"/>
          <w:shd w:val="clear" w:fill="FFFFFF"/>
          <w:lang w:eastAsia="zh-CN"/>
        </w:rPr>
        <w:t>牢固树立“过紧日子”思想，</w:t>
      </w:r>
      <w:r>
        <w:rPr>
          <w:rFonts w:hint="eastAsia" w:ascii="Times New Roman" w:hAnsi="Times New Roman" w:eastAsia="仿宋_GB2312" w:cs="Times New Roman"/>
          <w:kern w:val="0"/>
          <w:sz w:val="32"/>
          <w:szCs w:val="32"/>
          <w:shd w:val="clear" w:fill="FFFFFF"/>
        </w:rPr>
        <w:t>严</w:t>
      </w:r>
      <w:r>
        <w:rPr>
          <w:rFonts w:hint="default" w:ascii="Times New Roman" w:hAnsi="Times New Roman" w:eastAsia="仿宋_GB2312" w:cs="Times New Roman"/>
          <w:kern w:val="0"/>
          <w:sz w:val="32"/>
          <w:szCs w:val="32"/>
          <w:shd w:val="clear" w:fill="FFFFFF"/>
        </w:rPr>
        <w:t>控各项费用支出</w:t>
      </w:r>
      <w:r>
        <w:rPr>
          <w:rFonts w:hint="eastAsia" w:ascii="Times New Roman" w:hAnsi="Times New Roman" w:eastAsia="仿宋_GB2312" w:cs="Times New Roman"/>
          <w:kern w:val="0"/>
          <w:sz w:val="32"/>
          <w:szCs w:val="32"/>
          <w:shd w:val="clear" w:fill="FFFFFF"/>
        </w:rPr>
        <w:t>，降低公用经费支出</w:t>
      </w:r>
      <w:r>
        <w:rPr>
          <w:rFonts w:hint="eastAsia" w:ascii="Times New Roman" w:hAnsi="Times New Roman" w:eastAsia="仿宋_GB2312" w:cs="Times New Roman"/>
          <w:kern w:val="0"/>
          <w:sz w:val="32"/>
          <w:szCs w:val="32"/>
          <w:shd w:val="clear" w:fill="FFFFFF"/>
          <w:lang w:eastAsia="zh-CN"/>
        </w:rPr>
        <w:t>。</w:t>
      </w:r>
      <w:r>
        <w:rPr>
          <w:rFonts w:hint="eastAsia" w:ascii="仿宋_GB2312" w:hAnsi="仿宋_GB2312" w:eastAsia="仿宋_GB2312" w:cs="仿宋_GB2312"/>
          <w:sz w:val="32"/>
          <w:szCs w:val="32"/>
        </w:rPr>
        <w:t>公用经费用途主要包括</w:t>
      </w:r>
      <w:r>
        <w:rPr>
          <w:rFonts w:hint="default" w:ascii="Times New Roman" w:hAnsi="Times New Roman" w:eastAsia="仿宋_GB2312" w:cs="Times New Roman"/>
          <w:kern w:val="0"/>
          <w:sz w:val="32"/>
          <w:szCs w:val="32"/>
          <w:shd w:val="clear" w:fill="FFFFFF"/>
        </w:rPr>
        <w:t>办公费、印刷费、咨询费、手续费、水电费、差旅费、取暖费、物业管理费、维修（护）费、公务用车运行费等。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七、一般公共预算财政拨款“三公”经费支出决算情况说明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楷体" w:hAnsi="楷体" w:eastAsia="楷体" w:cs="楷体"/>
          <w:b w:val="0"/>
          <w:bCs/>
          <w:sz w:val="32"/>
          <w:szCs w:val="32"/>
        </w:rPr>
        <w:t>（一）“三公”经费财政拨款支出总体情况说明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2021年度“三公”经费支出年初预算数为462.30万元，支出决算为129.22万元，完成年初预算的27.95%,决算数预算数的主要原因</w:t>
      </w:r>
      <w:r>
        <w:rPr>
          <w:rFonts w:hint="default" w:ascii="仿宋_GB2312" w:hAnsi="仿宋_GB2312" w:eastAsia="仿宋_GB2312" w:cs="仿宋_GB2312"/>
          <w:sz w:val="32"/>
          <w:szCs w:val="32"/>
        </w:rPr>
        <w:t>是</w:t>
      </w:r>
      <w:r>
        <w:rPr>
          <w:rFonts w:hint="eastAsia" w:ascii="仿宋_GB2312" w:hAnsi="仿宋_GB2312" w:eastAsia="仿宋_GB2312" w:cs="仿宋_GB2312"/>
          <w:sz w:val="32"/>
          <w:szCs w:val="32"/>
        </w:rPr>
        <w:t>受</w:t>
      </w:r>
      <w:r>
        <w:rPr>
          <w:rFonts w:hint="eastAsia" w:ascii="Times New Roman" w:hAnsi="Times New Roman" w:eastAsia="仿宋_GB2312" w:cs="Times New Roman"/>
          <w:kern w:val="0"/>
          <w:sz w:val="32"/>
          <w:szCs w:val="32"/>
          <w:shd w:val="clear" w:fill="FFFFFF"/>
        </w:rPr>
        <w:t>疫情影响，经费支出减少</w:t>
      </w:r>
      <w:r>
        <w:rPr>
          <w:rFonts w:hint="eastAsia" w:ascii="Times New Roman" w:hAnsi="Times New Roman" w:eastAsia="仿宋_GB2312" w:cs="Times New Roman"/>
          <w:kern w:val="0"/>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楷体" w:hAnsi="楷体" w:eastAsia="楷体" w:cs="楷体"/>
          <w:b w:val="0"/>
          <w:bCs/>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楷体" w:hAnsi="楷体" w:eastAsia="楷体" w:cs="楷体"/>
          <w:b w:val="0"/>
          <w:bCs/>
          <w:sz w:val="32"/>
          <w:szCs w:val="32"/>
        </w:rPr>
        <w:t>（二）“三公”经费财政拨款支出决算具体情况说明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1.因公出国（境）费用</w:t>
      </w:r>
      <w:r>
        <w:rPr>
          <w:rFonts w:hint="eastAsia" w:ascii="仿宋_GB2312" w:hAnsi="仿宋_GB2312" w:eastAsia="仿宋_GB2312" w:cs="仿宋_GB2312"/>
          <w:sz w:val="32"/>
          <w:szCs w:val="32"/>
        </w:rPr>
        <w:t>年初预算数为20.00万元，支出决算为0.00万元，完成年初预算的0.00%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全年未安排出国任务。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2.公务用车购置及运行维护费</w:t>
      </w:r>
      <w:r>
        <w:rPr>
          <w:rFonts w:hint="eastAsia" w:ascii="仿宋_GB2312" w:hAnsi="仿宋_GB2312" w:eastAsia="仿宋_GB2312" w:cs="仿宋_GB2312"/>
          <w:sz w:val="32"/>
          <w:szCs w:val="32"/>
        </w:rPr>
        <w:t>年初预算数为116.80万元，支出决算为103.88万元，完成年初预算的88.94%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预算数的主要原因</w:t>
      </w:r>
      <w:r>
        <w:rPr>
          <w:rFonts w:hint="eastAsia" w:ascii="仿宋_GB2312" w:hAnsi="仿宋_GB2312" w:eastAsia="仿宋_GB2312" w:cs="仿宋_GB2312"/>
          <w:sz w:val="32"/>
          <w:szCs w:val="32"/>
          <w:lang w:eastAsia="zh-CN"/>
        </w:rPr>
        <w:t>一是受疫情影响，公务外出活动减少；二是</w:t>
      </w:r>
      <w:r>
        <w:rPr>
          <w:rFonts w:hint="eastAsia" w:ascii="仿宋_GB2312" w:hAnsi="仿宋_GB2312" w:eastAsia="仿宋_GB2312" w:cs="仿宋_GB2312"/>
          <w:sz w:val="32"/>
          <w:szCs w:val="32"/>
        </w:rPr>
        <w:t>严</w:t>
      </w:r>
      <w:r>
        <w:rPr>
          <w:rFonts w:hint="eastAsia" w:ascii="Times New Roman" w:hAnsi="Times New Roman" w:eastAsia="仿宋_GB2312" w:cs="Times New Roman"/>
          <w:kern w:val="0"/>
          <w:sz w:val="32"/>
          <w:szCs w:val="32"/>
          <w:shd w:val="clear" w:fill="FFFFFF"/>
        </w:rPr>
        <w:t>格控制车辆运行、维护费用支出</w:t>
      </w:r>
      <w:r>
        <w:rPr>
          <w:rFonts w:hint="default" w:ascii="Times New Roman" w:hAnsi="Times New Roman" w:eastAsia="仿宋_GB2312" w:cs="Times New Roman"/>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2" w:firstLineChars="0"/>
        <w:jc w:val="both"/>
        <w:textAlignment w:val="auto"/>
        <w:outlineLvl w:val="9"/>
        <w:rPr>
          <w:rStyle w:val="5"/>
          <w:rFonts w:hint="eastAsia" w:ascii="仿宋_GB2312" w:hAnsi="仿宋_GB2312" w:eastAsia="仿宋_GB2312" w:cs="仿宋_GB2312"/>
          <w:sz w:val="32"/>
          <w:szCs w:val="32"/>
          <w:lang w:val="en-US" w:eastAsia="zh-CN"/>
        </w:rPr>
      </w:pPr>
      <w:r>
        <w:rPr>
          <w:rStyle w:val="5"/>
          <w:rFonts w:hint="eastAsia" w:ascii="仿宋_GB2312" w:hAnsi="仿宋_GB2312" w:eastAsia="仿宋_GB2312" w:cs="仿宋_GB2312"/>
          <w:sz w:val="32"/>
          <w:szCs w:val="32"/>
        </w:rPr>
        <w:t>其中：公务用车购置费</w:t>
      </w:r>
      <w:r>
        <w:rPr>
          <w:rFonts w:hint="eastAsia" w:ascii="仿宋_GB2312" w:hAnsi="仿宋_GB2312" w:eastAsia="仿宋_GB2312" w:cs="仿宋_GB2312"/>
          <w:sz w:val="32"/>
          <w:szCs w:val="32"/>
        </w:rPr>
        <w:t>年初预算数为0.00万元，支出决算为0.00万元，完成年初预算的0.00%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持平。</w:t>
      </w:r>
      <w:r>
        <w:rPr>
          <w:rStyle w:val="5"/>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2"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rPr>
        <w:t>年初预算数为116.80万元，支出决算为103.88万元，完成年初预算的88.94%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预算数的主要原因</w:t>
      </w:r>
      <w:r>
        <w:rPr>
          <w:rFonts w:hint="eastAsia" w:ascii="仿宋_GB2312" w:hAnsi="仿宋_GB2312" w:eastAsia="仿宋_GB2312" w:cs="仿宋_GB2312"/>
          <w:sz w:val="32"/>
          <w:szCs w:val="32"/>
          <w:lang w:eastAsia="zh-CN"/>
        </w:rPr>
        <w:t>一是受疫情影响，公务外出活动减少；二是</w:t>
      </w:r>
      <w:r>
        <w:rPr>
          <w:rFonts w:hint="eastAsia" w:ascii="仿宋_GB2312" w:hAnsi="仿宋_GB2312" w:eastAsia="仿宋_GB2312" w:cs="仿宋_GB2312"/>
          <w:sz w:val="32"/>
          <w:szCs w:val="32"/>
        </w:rPr>
        <w:t>严</w:t>
      </w:r>
      <w:r>
        <w:rPr>
          <w:rFonts w:hint="eastAsia" w:ascii="Times New Roman" w:hAnsi="Times New Roman" w:eastAsia="仿宋_GB2312" w:cs="Times New Roman"/>
          <w:kern w:val="0"/>
          <w:sz w:val="32"/>
          <w:szCs w:val="32"/>
          <w:shd w:val="clear" w:fill="FFFFFF"/>
        </w:rPr>
        <w:t>格控制车辆运行、维护费用支出</w:t>
      </w:r>
      <w:r>
        <w:rPr>
          <w:rFonts w:hint="default" w:ascii="Times New Roman" w:hAnsi="Times New Roman" w:eastAsia="仿宋_GB2312" w:cs="Times New Roman"/>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3.公务接待费</w:t>
      </w:r>
      <w:r>
        <w:rPr>
          <w:rFonts w:hint="eastAsia" w:ascii="仿宋_GB2312" w:hAnsi="仿宋_GB2312" w:eastAsia="仿宋_GB2312" w:cs="仿宋_GB2312"/>
          <w:sz w:val="32"/>
          <w:szCs w:val="32"/>
        </w:rPr>
        <w:t>年初预算数为325.50万元，支出决算为25.34万元，完成年初预算的7.78%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w:t>
      </w:r>
      <w:r>
        <w:rPr>
          <w:rFonts w:hint="eastAsia" w:ascii="仿宋_GB2312" w:hAnsi="仿宋_GB2312" w:eastAsia="仿宋_GB2312" w:cs="仿宋_GB2312"/>
          <w:sz w:val="32"/>
          <w:szCs w:val="32"/>
          <w:lang w:eastAsia="zh-CN"/>
        </w:rPr>
        <w:t>主要原因是</w:t>
      </w:r>
      <w:r>
        <w:rPr>
          <w:rFonts w:hint="eastAsia" w:ascii="Times New Roman" w:hAnsi="Times New Roman" w:eastAsia="仿宋_GB2312" w:cs="Times New Roman"/>
          <w:kern w:val="0"/>
          <w:sz w:val="32"/>
          <w:szCs w:val="32"/>
          <w:shd w:val="clear" w:fill="FFFFFF"/>
        </w:rPr>
        <w:t>受全国疫情影响，接待任务减少。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楷体" w:hAnsi="楷体" w:eastAsia="楷体" w:cs="楷体"/>
          <w:b w:val="0"/>
          <w:bCs/>
          <w:sz w:val="32"/>
          <w:szCs w:val="32"/>
        </w:rPr>
        <w:t>（三）“三公”经费财政拨款支出决算实物量情况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2021年度本部门</w:t>
      </w:r>
      <w:r>
        <w:rPr>
          <w:rStyle w:val="5"/>
          <w:rFonts w:hint="eastAsia" w:ascii="仿宋_GB2312" w:hAnsi="仿宋_GB2312" w:eastAsia="仿宋_GB2312" w:cs="仿宋_GB2312"/>
          <w:sz w:val="32"/>
          <w:szCs w:val="32"/>
        </w:rPr>
        <w:t>因公出国（境）</w:t>
      </w:r>
      <w:r>
        <w:rPr>
          <w:rFonts w:hint="eastAsia" w:ascii="仿宋_GB2312" w:hAnsi="仿宋_GB2312" w:eastAsia="仿宋_GB2312" w:cs="仿宋_GB2312"/>
          <w:sz w:val="32"/>
          <w:szCs w:val="32"/>
        </w:rPr>
        <w:t>共计0个团组，0人；</w:t>
      </w:r>
      <w:r>
        <w:rPr>
          <w:rStyle w:val="5"/>
          <w:rFonts w:hint="eastAsia" w:ascii="仿宋_GB2312" w:hAnsi="仿宋_GB2312" w:eastAsia="仿宋_GB2312" w:cs="仿宋_GB2312"/>
          <w:sz w:val="32"/>
          <w:szCs w:val="32"/>
        </w:rPr>
        <w:t>公务用车购置</w:t>
      </w:r>
      <w:r>
        <w:rPr>
          <w:rFonts w:hint="eastAsia" w:ascii="仿宋_GB2312" w:hAnsi="仿宋_GB2312" w:eastAsia="仿宋_GB2312" w:cs="仿宋_GB2312"/>
          <w:sz w:val="32"/>
          <w:szCs w:val="32"/>
        </w:rPr>
        <w:t>0辆，</w:t>
      </w:r>
      <w:r>
        <w:rPr>
          <w:rStyle w:val="5"/>
          <w:rFonts w:hint="eastAsia" w:ascii="仿宋_GB2312" w:hAnsi="仿宋_GB2312" w:eastAsia="仿宋_GB2312" w:cs="仿宋_GB2312"/>
          <w:sz w:val="32"/>
          <w:szCs w:val="32"/>
        </w:rPr>
        <w:t>公务用车保有量</w:t>
      </w:r>
      <w:r>
        <w:rPr>
          <w:rFonts w:hint="eastAsia" w:ascii="仿宋_GB2312" w:hAnsi="仿宋_GB2312" w:eastAsia="仿宋_GB2312" w:cs="仿宋_GB2312"/>
          <w:sz w:val="32"/>
          <w:szCs w:val="32"/>
        </w:rPr>
        <w:t>为34辆；</w:t>
      </w:r>
      <w:r>
        <w:rPr>
          <w:rStyle w:val="5"/>
          <w:rFonts w:hint="eastAsia" w:ascii="仿宋_GB2312" w:hAnsi="仿宋_GB2312" w:eastAsia="仿宋_GB2312" w:cs="仿宋_GB2312"/>
          <w:sz w:val="32"/>
          <w:szCs w:val="32"/>
        </w:rPr>
        <w:t>国内公务接待</w:t>
      </w:r>
      <w:r>
        <w:rPr>
          <w:rFonts w:hint="eastAsia" w:ascii="仿宋_GB2312" w:hAnsi="仿宋_GB2312" w:eastAsia="仿宋_GB2312" w:cs="仿宋_GB2312"/>
          <w:sz w:val="32"/>
          <w:szCs w:val="32"/>
        </w:rPr>
        <w:t>39批次1,267人，其中：</w:t>
      </w:r>
      <w:r>
        <w:rPr>
          <w:rStyle w:val="5"/>
          <w:rFonts w:hint="eastAsia" w:ascii="仿宋_GB2312" w:hAnsi="仿宋_GB2312" w:eastAsia="仿宋_GB2312" w:cs="仿宋_GB2312"/>
          <w:sz w:val="32"/>
          <w:szCs w:val="32"/>
        </w:rPr>
        <w:t>外事接待</w:t>
      </w:r>
      <w:r>
        <w:rPr>
          <w:rFonts w:hint="eastAsia" w:ascii="仿宋_GB2312" w:hAnsi="仿宋_GB2312" w:eastAsia="仿宋_GB2312" w:cs="仿宋_GB2312"/>
          <w:sz w:val="32"/>
          <w:szCs w:val="32"/>
        </w:rPr>
        <w:t>0批次，0人；</w:t>
      </w:r>
      <w:r>
        <w:rPr>
          <w:rStyle w:val="5"/>
          <w:rFonts w:hint="eastAsia" w:ascii="仿宋_GB2312" w:hAnsi="仿宋_GB2312" w:eastAsia="仿宋_GB2312" w:cs="仿宋_GB2312"/>
          <w:sz w:val="32"/>
          <w:szCs w:val="32"/>
        </w:rPr>
        <w:t>国（境）外公务接待</w:t>
      </w:r>
      <w:r>
        <w:rPr>
          <w:rFonts w:hint="eastAsia" w:ascii="仿宋_GB2312" w:hAnsi="仿宋_GB2312" w:eastAsia="仿宋_GB2312" w:cs="仿宋_GB2312"/>
          <w:sz w:val="32"/>
          <w:szCs w:val="32"/>
        </w:rPr>
        <w:t>0批次，0人。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八、机关运行经费支出情况说明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shd w:val="clear" w:fill="FFFFFF"/>
        </w:rPr>
      </w:pPr>
      <w:r>
        <w:rPr>
          <w:rFonts w:hint="eastAsia" w:ascii="仿宋_GB2312" w:hAnsi="仿宋_GB2312" w:eastAsia="仿宋_GB2312" w:cs="仿宋_GB2312"/>
          <w:sz w:val="32"/>
          <w:szCs w:val="32"/>
        </w:rPr>
        <w:t>2021年度本部门机关运行经费支出1,690.61万元，机关运行经费主要用于开支</w:t>
      </w:r>
      <w:r>
        <w:rPr>
          <w:rFonts w:hint="default" w:ascii="Times New Roman" w:hAnsi="Times New Roman" w:eastAsia="仿宋_GB2312" w:cs="Times New Roman"/>
          <w:kern w:val="0"/>
          <w:sz w:val="32"/>
          <w:szCs w:val="32"/>
          <w:shd w:val="clear" w:fill="FFFFFF"/>
        </w:rPr>
        <w:t>办公费、公务车运行维护费、取暖费、信息网络购置更新费</w:t>
      </w:r>
      <w:r>
        <w:rPr>
          <w:rFonts w:hint="eastAsia" w:ascii="Times New Roman" w:hAnsi="Times New Roman" w:eastAsia="仿宋_GB2312" w:cs="Times New Roman"/>
          <w:kern w:val="0"/>
          <w:sz w:val="32"/>
          <w:szCs w:val="32"/>
          <w:shd w:val="clear" w:fill="FFFFFF"/>
        </w:rPr>
        <w:t>、</w:t>
      </w:r>
      <w:r>
        <w:rPr>
          <w:rFonts w:hint="default" w:ascii="Times New Roman" w:hAnsi="Times New Roman" w:eastAsia="仿宋_GB2312" w:cs="Times New Roman"/>
          <w:kern w:val="0"/>
          <w:sz w:val="32"/>
          <w:szCs w:val="32"/>
          <w:shd w:val="clear" w:fill="FFFFFF"/>
        </w:rPr>
        <w:t>差旅费、维修（护）等支出</w:t>
      </w:r>
      <w:r>
        <w:rPr>
          <w:rFonts w:hint="eastAsia" w:ascii="仿宋_GB2312" w:hAnsi="仿宋_GB2312" w:eastAsia="仿宋_GB2312" w:cs="仿宋_GB2312"/>
          <w:sz w:val="32"/>
          <w:szCs w:val="32"/>
        </w:rPr>
        <w:t>。机关运行经费较上年决算数减少148.85万元，下降8.09%，主要原因是</w:t>
      </w:r>
      <w:r>
        <w:rPr>
          <w:rFonts w:hint="eastAsia" w:ascii="仿宋_GB2312" w:hAnsi="仿宋_GB2312" w:eastAsia="仿宋_GB2312" w:cs="仿宋_GB2312"/>
          <w:sz w:val="32"/>
          <w:szCs w:val="32"/>
          <w:lang w:eastAsia="zh-CN"/>
        </w:rPr>
        <w:t>厉行节约，</w:t>
      </w:r>
      <w:r>
        <w:rPr>
          <w:rFonts w:hint="eastAsia" w:ascii="仿宋_GB2312" w:hAnsi="仿宋_GB2312" w:eastAsia="仿宋_GB2312" w:cs="仿宋_GB2312"/>
          <w:sz w:val="32"/>
          <w:szCs w:val="32"/>
        </w:rPr>
        <w:t>严</w:t>
      </w:r>
      <w:r>
        <w:rPr>
          <w:rFonts w:hint="default" w:ascii="Times New Roman" w:hAnsi="Times New Roman" w:eastAsia="仿宋_GB2312" w:cs="Times New Roman"/>
          <w:kern w:val="0"/>
          <w:sz w:val="32"/>
          <w:szCs w:val="32"/>
          <w:shd w:val="clear" w:fill="FFFFFF"/>
        </w:rPr>
        <w:t>控各项费用支出</w:t>
      </w:r>
      <w:r>
        <w:rPr>
          <w:rFonts w:hint="eastAsia" w:ascii="Times New Roman" w:hAnsi="Times New Roman" w:eastAsia="仿宋_GB2312" w:cs="Times New Roman"/>
          <w:kern w:val="0"/>
          <w:sz w:val="32"/>
          <w:szCs w:val="32"/>
          <w:shd w:val="clear" w:fill="FFFFFF"/>
        </w:rPr>
        <w:t>，降低行政运行成本</w:t>
      </w:r>
      <w:r>
        <w:rPr>
          <w:rFonts w:hint="default" w:ascii="Times New Roman" w:hAnsi="Times New Roman" w:eastAsia="仿宋_GB2312" w:cs="Times New Roman"/>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本年度会议费支出1,229.32万元，较上年决算数增加326.12万元，增长36.11%，主要原因是</w:t>
      </w:r>
      <w:r>
        <w:rPr>
          <w:rFonts w:hint="eastAsia" w:ascii="仿宋_GB2312" w:hAnsi="仿宋_GB2312" w:eastAsia="仿宋_GB2312" w:cs="仿宋_GB2312"/>
          <w:sz w:val="32"/>
          <w:szCs w:val="32"/>
          <w:lang w:eastAsia="zh-CN"/>
        </w:rPr>
        <w:t>加开省十三届人大五次会议。</w:t>
      </w:r>
      <w:r>
        <w:rPr>
          <w:rFonts w:hint="eastAsia" w:ascii="仿宋_GB2312" w:hAnsi="仿宋_GB2312" w:eastAsia="仿宋_GB2312" w:cs="仿宋_GB2312"/>
          <w:sz w:val="32"/>
          <w:szCs w:val="32"/>
        </w:rPr>
        <w:t>本年度培训费支出197.84万元，较上年决算数增加132.99万元，增长205.07%，主要原因是</w:t>
      </w:r>
      <w:r>
        <w:rPr>
          <w:rFonts w:hint="eastAsia" w:ascii="仿宋_GB2312" w:hAnsi="仿宋_GB2312" w:eastAsia="仿宋_GB2312" w:cs="仿宋_GB2312"/>
          <w:sz w:val="32"/>
          <w:szCs w:val="32"/>
          <w:lang w:val="en-US" w:eastAsia="zh-CN"/>
        </w:rPr>
        <w:t>2020年度受全国疫情影响，机关大部分年初培训计划取消，2021年度完成了部分培训任务。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九、政府采购支出情况说明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2021年度本部门政府采购支出合计2,670.36万元，其中：政府采购货物支出357.53万元、政府采购工程支出 46.23万元、政府采购服务支出2,266.61万元。授予中小企业合同金额2,500.00万元，占政府采购支出总额的93.62%，其中：授予小微企业合同金额1,950.00万元，占政府采购支出总额的73.02%。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十、国有资产占用情况说明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截至2021年12月31日，本部门共有</w:t>
      </w:r>
      <w:r>
        <w:rPr>
          <w:rFonts w:hint="eastAsia" w:ascii="仿宋_GB2312" w:hAnsi="仿宋_GB2312" w:eastAsia="仿宋_GB2312" w:cs="仿宋_GB2312"/>
          <w:sz w:val="32"/>
          <w:szCs w:val="32"/>
          <w:lang w:eastAsia="zh-CN"/>
        </w:rPr>
        <w:t>公务</w:t>
      </w:r>
      <w:r>
        <w:rPr>
          <w:rFonts w:hint="eastAsia" w:ascii="仿宋_GB2312" w:hAnsi="仿宋_GB2312" w:eastAsia="仿宋_GB2312" w:cs="仿宋_GB2312"/>
          <w:sz w:val="32"/>
          <w:szCs w:val="32"/>
        </w:rPr>
        <w:t>车辆34辆，其中，副部（省）级及以上领导用车6辆、主要领导干部用车7辆、机要通信用车1辆、应急保障用车19辆、执法执勤用车0辆，特种专业技术用车0辆，离退休干部用车0辆，其他用车1辆，其他用车主要是</w:t>
      </w:r>
      <w:r>
        <w:rPr>
          <w:rFonts w:hint="eastAsia" w:ascii="仿宋_GB2312" w:hAnsi="仿宋_GB2312" w:eastAsia="仿宋_GB2312" w:cs="仿宋_GB2312"/>
          <w:sz w:val="32"/>
          <w:szCs w:val="32"/>
          <w:lang w:eastAsia="zh-CN"/>
        </w:rPr>
        <w:t>待处置车辆。</w:t>
      </w:r>
      <w:r>
        <w:rPr>
          <w:rFonts w:hint="eastAsia" w:ascii="仿宋_GB2312" w:hAnsi="仿宋_GB2312" w:eastAsia="仿宋_GB2312" w:cs="仿宋_GB2312"/>
          <w:sz w:val="32"/>
          <w:szCs w:val="32"/>
        </w:rPr>
        <w:t>单价50万元（含）以上通用设备7台（套），单价100万元（含）以上专用设备2台（套）。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十一、政府性基金预算财政拨款收支决算情况说明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本部门2021年度无政府性基金收入，也没有使用政府性基金安排的支出。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十二、国有资本经营预算财政拨款支出情况说明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本部门2021年度没有使用国有资本经营预算安排的支出</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十三、预算绩效情况说明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2" w:firstLineChars="0"/>
        <w:jc w:val="both"/>
        <w:textAlignment w:val="auto"/>
        <w:outlineLvl w:val="9"/>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（1）绩效管理评价工作开展情况。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仿宋_GB2312" w:hAnsi="Times New Roman" w:eastAsia="仿宋_GB2312" w:cs="仿宋_GB2312"/>
          <w:kern w:val="0"/>
          <w:sz w:val="32"/>
          <w:szCs w:val="32"/>
          <w:shd w:val="clear" w:fill="FFFFFF"/>
        </w:rPr>
      </w:pPr>
      <w:r>
        <w:rPr>
          <w:rFonts w:hint="eastAsia" w:ascii="仿宋_GB2312" w:hAnsi="仿宋_GB2312" w:eastAsia="仿宋_GB2312" w:cs="仿宋_GB2312"/>
          <w:sz w:val="32"/>
          <w:szCs w:val="32"/>
        </w:rPr>
        <w:t>根据预算绩效管理要求，我部门组织对2021年度一般公共预</w:t>
      </w:r>
      <w:r>
        <w:rPr>
          <w:rFonts w:hint="eastAsia" w:ascii="仿宋_GB2312" w:hAnsi="仿宋_GB2312" w:eastAsia="仿宋_GB2312" w:cs="仿宋_GB2312"/>
          <w:color w:val="000000" w:themeColor="text1"/>
          <w:sz w:val="32"/>
          <w:szCs w:val="32"/>
          <w14:textFill>
            <w14:solidFill>
              <w14:schemeClr w14:val="tx1"/>
            </w14:solidFill>
          </w14:textFill>
        </w:rPr>
        <w:t>算项目支出全面开展绩效自评，其中，一级项目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个，二级项目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个，共涉及资金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3569</w:t>
      </w:r>
      <w:r>
        <w:rPr>
          <w:rFonts w:hint="eastAsia" w:ascii="仿宋_GB2312" w:hAnsi="仿宋_GB2312" w:eastAsia="仿宋_GB2312" w:cs="仿宋_GB2312"/>
          <w:color w:val="000000" w:themeColor="text1"/>
          <w:sz w:val="32"/>
          <w:szCs w:val="32"/>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%。组织对 2021年度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个政府性基金预算项目支出开展绩效自评，共涉及资金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%。组织对 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个国有资本经营预算项目支出开展绩效自评，共涉及资金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、“物业管理费”</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949</w:t>
      </w:r>
      <w:r>
        <w:rPr>
          <w:rFonts w:hint="eastAsia" w:ascii="仿宋_GB2312" w:hAnsi="仿宋_GB2312" w:eastAsia="仿宋_GB2312" w:cs="仿宋_GB2312"/>
          <w:color w:val="000000" w:themeColor="text1"/>
          <w:sz w:val="32"/>
          <w:szCs w:val="32"/>
          <w14:textFill>
            <w14:solidFill>
              <w14:schemeClr w14:val="tx1"/>
            </w14:solidFill>
          </w14:textFill>
        </w:rPr>
        <w:t>万元，政府性基金预算支出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万元，国有资本经营预算支出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万元。从评价情况来看，</w:t>
      </w:r>
      <w:r>
        <w:rPr>
          <w:rFonts w:hint="eastAsia" w:ascii="Times New Roman" w:hAnsi="Times New Roman" w:eastAsia="仿宋_GB2312" w:cs="Times New Roman"/>
          <w:color w:val="000000" w:themeColor="text1"/>
          <w:kern w:val="0"/>
          <w:sz w:val="32"/>
          <w:szCs w:val="32"/>
          <w:shd w:val="clear" w:fill="FFFFFF"/>
          <w14:textFill>
            <w14:solidFill>
              <w14:schemeClr w14:val="tx1"/>
            </w14:solidFill>
          </w14:textFill>
        </w:rPr>
        <w:t>省人大常委会机关</w:t>
      </w:r>
      <w:r>
        <w:rPr>
          <w:rStyle w:val="9"/>
          <w:rFonts w:hint="default" w:ascii="Times New Roman" w:hAnsi="Times New Roman" w:eastAsia="仿宋_GB2312" w:cs="Times New Roman"/>
          <w:color w:val="000000" w:themeColor="text1"/>
          <w:sz w:val="32"/>
          <w:szCs w:val="32"/>
          <w14:textFill>
            <w14:solidFill>
              <w14:schemeClr w14:val="tx1"/>
            </w14:solidFill>
          </w14:textFill>
        </w:rPr>
        <w:t>高度重视</w:t>
      </w:r>
      <w:r>
        <w:rPr>
          <w:rStyle w:val="9"/>
          <w:rFonts w:hint="eastAsia" w:ascii="Times New Roman" w:hAnsi="Times New Roman" w:eastAsia="仿宋_GB2312" w:cs="Times New Roman"/>
          <w:color w:val="000000" w:themeColor="text1"/>
          <w:sz w:val="32"/>
          <w:szCs w:val="32"/>
          <w14:textFill>
            <w14:solidFill>
              <w14:schemeClr w14:val="tx1"/>
            </w14:solidFill>
          </w14:textFill>
        </w:rPr>
        <w:t>，严格</w:t>
      </w:r>
      <w:r>
        <w:rPr>
          <w:rStyle w:val="9"/>
          <w:rFonts w:hint="default" w:ascii="Times New Roman" w:hAnsi="Times New Roman" w:eastAsia="仿宋_GB2312" w:cs="Times New Roman"/>
          <w:color w:val="000000" w:themeColor="text1"/>
          <w:sz w:val="32"/>
          <w:szCs w:val="32"/>
          <w14:textFill>
            <w14:solidFill>
              <w14:schemeClr w14:val="tx1"/>
            </w14:solidFill>
          </w14:textFill>
        </w:rPr>
        <w:t>按照省财政厅有关文件精神，明确了工作职</w:t>
      </w:r>
      <w:r>
        <w:rPr>
          <w:rStyle w:val="9"/>
          <w:rFonts w:hint="default" w:ascii="Times New Roman" w:hAnsi="Times New Roman" w:eastAsia="仿宋_GB2312" w:cs="Times New Roman"/>
          <w:color w:val="000000"/>
          <w:sz w:val="32"/>
          <w:szCs w:val="32"/>
        </w:rPr>
        <w:t>责，强化财务部门、业务处室以及资金使用单位之间的协作配合，由行政保卫处具体负责，项目主管处室和相关单位共同收集资料、审查核实，认真组织开展</w:t>
      </w:r>
      <w:r>
        <w:rPr>
          <w:rStyle w:val="9"/>
          <w:rFonts w:hint="eastAsia" w:ascii="Times New Roman" w:hAnsi="Times New Roman" w:eastAsia="仿宋_GB2312" w:cs="Times New Roman"/>
          <w:color w:val="000000"/>
          <w:sz w:val="32"/>
          <w:szCs w:val="32"/>
        </w:rPr>
        <w:t>了</w:t>
      </w:r>
      <w:r>
        <w:rPr>
          <w:rStyle w:val="9"/>
          <w:rFonts w:hint="default" w:ascii="Times New Roman" w:hAnsi="Times New Roman" w:eastAsia="仿宋_GB2312" w:cs="Times New Roman"/>
          <w:color w:val="000000"/>
          <w:sz w:val="32"/>
          <w:szCs w:val="32"/>
        </w:rPr>
        <w:t>202</w:t>
      </w:r>
      <w:r>
        <w:rPr>
          <w:rStyle w:val="9"/>
          <w:rFonts w:hint="eastAsia" w:ascii="Times New Roman" w:hAnsi="Times New Roman" w:eastAsia="仿宋_GB2312" w:cs="Times New Roman"/>
          <w:color w:val="000000"/>
          <w:sz w:val="32"/>
          <w:szCs w:val="32"/>
          <w:lang w:val="en-US" w:eastAsia="zh-CN"/>
        </w:rPr>
        <w:t>1</w:t>
      </w:r>
      <w:r>
        <w:rPr>
          <w:rStyle w:val="9"/>
          <w:rFonts w:hint="eastAsia" w:ascii="仿宋_GB2312" w:hAnsi="Times New Roman" w:eastAsia="仿宋_GB2312" w:cs="仿宋_GB2312"/>
          <w:color w:val="000000"/>
          <w:sz w:val="32"/>
          <w:szCs w:val="32"/>
        </w:rPr>
        <w:t>年度预算绩效评价工作。为推进绩效管理工作健康有序开展，根据省财政厅有关文件和要求，由相关处室与项目实施单位沟通、对接，确定绩效目标，上报绩效评价计划，对评价的项目、时间及责任人等明确了主体责任，规范了工作内容，确保绩效评价工作有序开展</w:t>
      </w:r>
      <w:r>
        <w:rPr>
          <w:rFonts w:hint="eastAsia" w:ascii="仿宋_GB2312" w:hAnsi="仿宋_GB2312" w:eastAsia="仿宋_GB2312" w:cs="仿宋_GB2312"/>
          <w:sz w:val="32"/>
          <w:szCs w:val="32"/>
        </w:rPr>
        <w:t>。组织</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9"/>
          <w:rFonts w:hint="eastAsia" w:ascii="仿宋_GB2312" w:hAnsi="Times New Roman" w:eastAsia="仿宋_GB2312" w:cs="仿宋_GB2312"/>
          <w:color w:val="000000" w:themeColor="text1"/>
          <w:sz w:val="32"/>
          <w:szCs w:val="32"/>
          <w:lang w:eastAsia="zh-CN"/>
          <w14:textFill>
            <w14:solidFill>
              <w14:schemeClr w14:val="tx1"/>
            </w14:solidFill>
          </w14:textFill>
        </w:rPr>
        <w:t>省人大常委会办公厅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sz w:val="32"/>
          <w:szCs w:val="32"/>
        </w:rPr>
        <w:t>整体支出绩效评价试点，涉及一般公共预算</w:t>
      </w:r>
      <w:r>
        <w:rPr>
          <w:rStyle w:val="9"/>
          <w:rFonts w:hint="eastAsia" w:ascii="仿宋_GB2312" w:hAnsi="Times New Roman" w:eastAsia="仿宋_GB2312" w:cs="仿宋_GB2312"/>
          <w:color w:val="000000" w:themeColor="text1"/>
          <w:sz w:val="32"/>
          <w:szCs w:val="32"/>
          <w:lang w:eastAsia="zh-CN"/>
          <w14:textFill>
            <w14:solidFill>
              <w14:schemeClr w14:val="tx1"/>
            </w14:solidFill>
          </w14:textFill>
        </w:rPr>
        <w:t>支出9150</w:t>
      </w:r>
      <w:r>
        <w:rPr>
          <w:rStyle w:val="9"/>
          <w:rFonts w:hint="eastAsia" w:ascii="仿宋_GB2312" w:hAnsi="Times New Roman" w:eastAsia="仿宋_GB2312" w:cs="仿宋_GB2312"/>
          <w:color w:val="000000" w:themeColor="text1"/>
          <w:sz w:val="32"/>
          <w:szCs w:val="32"/>
          <w:lang w:val="en-US" w:eastAsia="zh-CN"/>
          <w14:textFill>
            <w14:solidFill>
              <w14:schemeClr w14:val="tx1"/>
            </w14:solidFill>
          </w14:textFill>
        </w:rPr>
        <w:t>.</w:t>
      </w:r>
      <w:r>
        <w:rPr>
          <w:rStyle w:val="9"/>
          <w:rFonts w:hint="eastAsia" w:ascii="仿宋_GB2312" w:hAnsi="Times New Roman" w:eastAsia="仿宋_GB2312" w:cs="仿宋_GB2312"/>
          <w:color w:val="000000" w:themeColor="text1"/>
          <w:sz w:val="32"/>
          <w:szCs w:val="32"/>
          <w:lang w:eastAsia="zh-CN"/>
          <w14:textFill>
            <w14:solidFill>
              <w14:schemeClr w14:val="tx1"/>
            </w14:solidFill>
          </w14:textFill>
        </w:rPr>
        <w:t>78万元，</w:t>
      </w:r>
      <w:r>
        <w:rPr>
          <w:rFonts w:hint="eastAsia" w:ascii="仿宋_GB2312" w:hAnsi="仿宋_GB2312" w:eastAsia="仿宋_GB2312" w:cs="仿宋_GB2312"/>
          <w:sz w:val="32"/>
          <w:szCs w:val="32"/>
        </w:rPr>
        <w:t>政府性基金预算支出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sz w:val="32"/>
          <w:szCs w:val="32"/>
        </w:rPr>
        <w:t>万元。</w:t>
      </w:r>
      <w:r>
        <w:rPr>
          <w:rStyle w:val="10"/>
          <w:rFonts w:hint="default" w:ascii="Times New Roman" w:hAnsi="Times New Roman" w:eastAsia="仿宋_GB2312" w:cs="Times New Roman"/>
          <w:color w:val="000000"/>
          <w:sz w:val="32"/>
          <w:szCs w:val="32"/>
        </w:rPr>
        <w:t>按照评价指标、评价标准和评价规则，</w:t>
      </w:r>
      <w:r>
        <w:rPr>
          <w:rStyle w:val="10"/>
          <w:rFonts w:hint="eastAsia" w:ascii="Times New Roman" w:hAnsi="Times New Roman" w:eastAsia="仿宋_GB2312" w:cs="Times New Roman"/>
          <w:color w:val="000000"/>
          <w:sz w:val="32"/>
          <w:szCs w:val="32"/>
        </w:rPr>
        <w:t>办公厅</w:t>
      </w:r>
      <w:r>
        <w:rPr>
          <w:rStyle w:val="10"/>
          <w:rFonts w:hint="default" w:ascii="Times New Roman" w:hAnsi="Times New Roman" w:eastAsia="仿宋_GB2312" w:cs="Times New Roman"/>
          <w:color w:val="000000"/>
          <w:sz w:val="32"/>
          <w:szCs w:val="32"/>
        </w:rPr>
        <w:t>对202</w:t>
      </w:r>
      <w:r>
        <w:rPr>
          <w:rStyle w:val="10"/>
          <w:rFonts w:hint="eastAsia" w:ascii="Times New Roman" w:hAnsi="Times New Roman" w:eastAsia="仿宋_GB2312" w:cs="Times New Roman"/>
          <w:color w:val="000000"/>
          <w:sz w:val="32"/>
          <w:szCs w:val="32"/>
          <w:lang w:val="en-US" w:eastAsia="zh-CN"/>
        </w:rPr>
        <w:t>1</w:t>
      </w:r>
      <w:r>
        <w:rPr>
          <w:rStyle w:val="10"/>
          <w:rFonts w:hint="eastAsia" w:ascii="仿宋_GB2312" w:hAnsi="Times New Roman" w:eastAsia="仿宋_GB2312" w:cs="仿宋_GB2312"/>
          <w:color w:val="000000"/>
          <w:sz w:val="32"/>
          <w:szCs w:val="32"/>
        </w:rPr>
        <w:t>年度总体绩效目标完成情况进行自评</w:t>
      </w:r>
      <w:r>
        <w:rPr>
          <w:rStyle w:val="10"/>
          <w:rFonts w:hint="eastAsia" w:ascii="仿宋_GB2312" w:hAnsi="Times New Roman" w:eastAsia="仿宋_GB2312" w:cs="仿宋_GB2312"/>
          <w:color w:val="000000"/>
          <w:sz w:val="32"/>
          <w:szCs w:val="32"/>
          <w:lang w:eastAsia="zh-CN"/>
        </w:rPr>
        <w:t>。</w:t>
      </w:r>
      <w:r>
        <w:rPr>
          <w:rStyle w:val="9"/>
          <w:rFonts w:hint="default" w:ascii="仿宋_GB2312" w:hAnsi="Times New Roman" w:eastAsia="仿宋_GB2312" w:cs="仿宋_GB2312"/>
          <w:color w:val="000000"/>
          <w:sz w:val="32"/>
          <w:szCs w:val="32"/>
        </w:rPr>
        <w:t>本着科</w:t>
      </w:r>
      <w:r>
        <w:rPr>
          <w:rStyle w:val="10"/>
          <w:rFonts w:hint="default" w:ascii="Times New Roman" w:hAnsi="Times New Roman" w:eastAsia="仿宋_GB2312" w:cs="Times New Roman"/>
          <w:color w:val="000000"/>
          <w:sz w:val="32"/>
          <w:szCs w:val="32"/>
        </w:rPr>
        <w:t>学、规范、独立、客观、公正的原则</w:t>
      </w:r>
      <w:r>
        <w:rPr>
          <w:rStyle w:val="10"/>
          <w:rFonts w:hint="eastAsia" w:ascii="Times New Roman" w:hAnsi="Times New Roman" w:eastAsia="仿宋_GB2312" w:cs="Times New Roman"/>
          <w:color w:val="000000"/>
          <w:sz w:val="32"/>
          <w:szCs w:val="32"/>
          <w:lang w:eastAsia="zh-CN"/>
        </w:rPr>
        <w:t>，</w:t>
      </w:r>
      <w:r>
        <w:rPr>
          <w:rStyle w:val="9"/>
          <w:rFonts w:hint="default" w:ascii="仿宋_GB2312" w:hAnsi="Times New Roman" w:eastAsia="仿宋_GB2312" w:cs="仿宋_GB2312"/>
          <w:color w:val="000000"/>
          <w:sz w:val="32"/>
          <w:szCs w:val="32"/>
        </w:rPr>
        <w:t>根据年初设定的绩效目标，</w:t>
      </w:r>
      <w:r>
        <w:rPr>
          <w:rStyle w:val="10"/>
          <w:rFonts w:hint="default" w:ascii="Times New Roman" w:hAnsi="Times New Roman" w:eastAsia="仿宋_GB2312" w:cs="Times New Roman"/>
          <w:color w:val="000000"/>
          <w:sz w:val="32"/>
          <w:szCs w:val="32"/>
        </w:rPr>
        <w:t>我单位总体绩效目标已基本按年初设定的计划完成，整体自评得分</w:t>
      </w:r>
      <w:r>
        <w:rPr>
          <w:rStyle w:val="10"/>
          <w:rFonts w:hint="eastAsia" w:ascii="Times New Roman" w:hAnsi="Times New Roman" w:eastAsia="仿宋_GB2312" w:cs="Times New Roman"/>
          <w:color w:val="000000"/>
          <w:sz w:val="32"/>
          <w:szCs w:val="32"/>
          <w:lang w:val="en-US" w:eastAsia="zh-CN"/>
        </w:rPr>
        <w:t>97</w:t>
      </w:r>
      <w:r>
        <w:rPr>
          <w:rStyle w:val="10"/>
          <w:rFonts w:hint="eastAsia" w:ascii="仿宋_GB2312" w:hAnsi="Times New Roman" w:eastAsia="仿宋_GB2312" w:cs="仿宋_GB2312"/>
          <w:color w:val="000000"/>
          <w:sz w:val="32"/>
          <w:szCs w:val="32"/>
        </w:rPr>
        <w:t>分</w:t>
      </w:r>
      <w:r>
        <w:rPr>
          <w:rStyle w:val="10"/>
          <w:rFonts w:hint="eastAsia" w:ascii="仿宋_GB2312" w:hAnsi="Times New Roman" w:eastAsia="仿宋_GB2312" w:cs="仿宋_GB2312"/>
          <w:color w:val="000000"/>
          <w:sz w:val="32"/>
          <w:szCs w:val="32"/>
          <w:lang w:eastAsia="zh-CN"/>
        </w:rPr>
        <w:t>（</w:t>
      </w:r>
      <w:r>
        <w:rPr>
          <w:rStyle w:val="10"/>
          <w:rFonts w:hint="eastAsia" w:ascii="仿宋_GB2312" w:hAnsi="Times New Roman" w:eastAsia="仿宋_GB2312" w:cs="仿宋_GB2312"/>
          <w:color w:val="000000"/>
          <w:sz w:val="32"/>
          <w:szCs w:val="32"/>
        </w:rPr>
        <w:t>详见绩效自评表</w:t>
      </w:r>
      <w:r>
        <w:rPr>
          <w:rStyle w:val="10"/>
          <w:rFonts w:hint="eastAsia" w:ascii="仿宋_GB2312" w:hAnsi="Times New Roman" w:eastAsia="仿宋_GB2312" w:cs="仿宋_GB2312"/>
          <w:color w:val="000000"/>
          <w:sz w:val="32"/>
          <w:szCs w:val="32"/>
          <w:lang w:eastAsia="zh-CN"/>
        </w:rPr>
        <w:t>），</w:t>
      </w:r>
      <w:r>
        <w:rPr>
          <w:rStyle w:val="10"/>
          <w:rFonts w:hint="eastAsia" w:ascii="仿宋_GB2312" w:hAnsi="Times New Roman" w:eastAsia="仿宋_GB2312" w:cs="仿宋_GB2312"/>
          <w:color w:val="000000"/>
          <w:sz w:val="32"/>
          <w:szCs w:val="32"/>
        </w:rPr>
        <w:t>为做好人员管理和基础工作</w:t>
      </w:r>
      <w:r>
        <w:rPr>
          <w:rStyle w:val="10"/>
          <w:rFonts w:hint="eastAsia" w:ascii="仿宋_GB2312" w:hAnsi="Times New Roman" w:eastAsia="仿宋_GB2312" w:cs="仿宋_GB2312"/>
          <w:color w:val="000000"/>
          <w:sz w:val="32"/>
          <w:szCs w:val="32"/>
          <w:lang w:eastAsia="zh-CN"/>
        </w:rPr>
        <w:t>开展</w:t>
      </w:r>
      <w:r>
        <w:rPr>
          <w:rStyle w:val="10"/>
          <w:rFonts w:hint="eastAsia" w:ascii="仿宋_GB2312" w:hAnsi="Times New Roman" w:eastAsia="仿宋_GB2312" w:cs="仿宋_GB2312"/>
          <w:color w:val="000000"/>
          <w:sz w:val="32"/>
          <w:szCs w:val="32"/>
        </w:rPr>
        <w:t>提供了资金保障，确保</w:t>
      </w:r>
      <w:r>
        <w:rPr>
          <w:rStyle w:val="10"/>
          <w:rFonts w:hint="eastAsia" w:ascii="Times New Roman" w:hAnsi="Times New Roman" w:eastAsia="仿宋_GB2312" w:cs="Times New Roman"/>
          <w:color w:val="000000"/>
          <w:sz w:val="32"/>
          <w:szCs w:val="32"/>
        </w:rPr>
        <w:t>常委会依法履职</w:t>
      </w:r>
      <w:r>
        <w:rPr>
          <w:rStyle w:val="10"/>
          <w:rFonts w:hint="default" w:ascii="Times New Roman" w:hAnsi="Times New Roman" w:eastAsia="仿宋_GB2312" w:cs="Times New Roman"/>
          <w:color w:val="000000"/>
          <w:sz w:val="32"/>
          <w:szCs w:val="32"/>
        </w:rPr>
        <w:t>各项工作稳定有效开展。</w:t>
      </w:r>
      <w:r>
        <w:rPr>
          <w:rFonts w:hint="default" w:ascii="Times New Roman" w:hAnsi="Times New Roman" w:eastAsia="仿宋_GB2312" w:cs="Times New Roman"/>
          <w:kern w:val="0"/>
          <w:sz w:val="32"/>
          <w:szCs w:val="32"/>
          <w:shd w:val="clear" w:fill="FFFFFF"/>
        </w:rPr>
        <w:t>项目全年预算数为</w:t>
      </w:r>
      <w:r>
        <w:rPr>
          <w:rFonts w:hint="eastAsia" w:ascii="Times New Roman" w:hAnsi="Times New Roman" w:eastAsia="仿宋_GB2312" w:cs="Times New Roman"/>
          <w:kern w:val="0"/>
          <w:sz w:val="32"/>
          <w:szCs w:val="32"/>
          <w:shd w:val="clear" w:fill="FFFFFF"/>
          <w:lang w:val="en-US" w:eastAsia="zh-CN"/>
        </w:rPr>
        <w:t>3569</w:t>
      </w:r>
      <w:r>
        <w:rPr>
          <w:rFonts w:hint="default" w:ascii="Times New Roman" w:hAnsi="Times New Roman" w:eastAsia="仿宋_GB2312" w:cs="Times New Roman"/>
          <w:kern w:val="0"/>
          <w:sz w:val="32"/>
          <w:szCs w:val="32"/>
          <w:shd w:val="clear" w:fill="FFFFFF"/>
        </w:rPr>
        <w:t>万元，执行数为</w:t>
      </w:r>
      <w:r>
        <w:rPr>
          <w:rFonts w:hint="eastAsia" w:ascii="Times New Roman" w:hAnsi="Times New Roman" w:eastAsia="仿宋_GB2312" w:cs="Times New Roman"/>
          <w:kern w:val="0"/>
          <w:sz w:val="32"/>
          <w:szCs w:val="32"/>
          <w:shd w:val="clear" w:fill="FFFFFF"/>
          <w:lang w:val="en-US" w:eastAsia="zh-CN"/>
        </w:rPr>
        <w:t>3571.57</w:t>
      </w:r>
      <w:r>
        <w:rPr>
          <w:rFonts w:hint="default" w:ascii="Times New Roman" w:hAnsi="Times New Roman" w:eastAsia="仿宋_GB2312" w:cs="Times New Roman"/>
          <w:kern w:val="0"/>
          <w:sz w:val="32"/>
          <w:szCs w:val="32"/>
          <w:shd w:val="clear" w:fill="FFFFFF"/>
        </w:rPr>
        <w:t>万元，完成预算的</w:t>
      </w:r>
      <w:r>
        <w:rPr>
          <w:rFonts w:hint="eastAsia" w:ascii="Times New Roman" w:hAnsi="Times New Roman" w:eastAsia="仿宋_GB2312" w:cs="Times New Roman"/>
          <w:kern w:val="0"/>
          <w:sz w:val="32"/>
          <w:szCs w:val="32"/>
          <w:shd w:val="clear" w:fill="FFFFFF"/>
          <w:lang w:val="en-US" w:eastAsia="zh-CN"/>
        </w:rPr>
        <w:t>93</w:t>
      </w:r>
      <w:r>
        <w:rPr>
          <w:rFonts w:hint="default" w:ascii="Times New Roman" w:hAnsi="Times New Roman" w:eastAsia="仿宋_GB2312" w:cs="Times New Roman"/>
          <w:kern w:val="0"/>
          <w:sz w:val="32"/>
          <w:szCs w:val="32"/>
          <w:shd w:val="clear" w:fill="FFFFFF"/>
        </w:rPr>
        <w:t>%</w:t>
      </w:r>
      <w:r>
        <w:rPr>
          <w:rFonts w:hint="eastAsia" w:ascii="仿宋_GB2312" w:hAnsi="Times New Roman" w:eastAsia="仿宋_GB2312" w:cs="仿宋_GB2312"/>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（2）部门决算中项目绩效自评结果。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Times New Roman" w:eastAsia="仿宋_GB2312" w:cs="仿宋_GB2312"/>
          <w:color w:val="000000"/>
          <w:kern w:val="0"/>
          <w:sz w:val="32"/>
          <w:szCs w:val="32"/>
          <w:shd w:val="clear" w:fill="FFFFFF"/>
        </w:rPr>
        <w:t>（注：具体报告见附件</w:t>
      </w:r>
      <w:r>
        <w:rPr>
          <w:rFonts w:hint="eastAsia" w:ascii="仿宋_GB2312" w:hAnsi="Times New Roman" w:eastAsia="仿宋_GB2312" w:cs="仿宋_GB2312"/>
          <w:color w:val="000000"/>
          <w:kern w:val="0"/>
          <w:sz w:val="32"/>
          <w:szCs w:val="32"/>
          <w:shd w:val="clear" w:fill="FFFFFF"/>
          <w:lang w:val="en-US" w:eastAsia="zh-CN"/>
        </w:rPr>
        <w:t>2,3</w:t>
      </w:r>
      <w:r>
        <w:rPr>
          <w:rFonts w:hint="eastAsia" w:ascii="仿宋_GB2312" w:hAnsi="Times New Roman" w:eastAsia="仿宋_GB2312" w:cs="仿宋_GB2312"/>
          <w:color w:val="000000"/>
          <w:kern w:val="0"/>
          <w:sz w:val="32"/>
          <w:szCs w:val="32"/>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Style w:val="5"/>
          <w:rFonts w:hint="eastAsia" w:ascii="华文中宋" w:hAnsi="华文中宋" w:eastAsia="华文中宋" w:cs="华文中宋"/>
          <w:b w:val="0"/>
          <w:bCs/>
          <w:sz w:val="32"/>
          <w:szCs w:val="32"/>
        </w:rPr>
        <w:t>第四部分 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一、财政拨款收入</w:t>
      </w:r>
      <w:r>
        <w:rPr>
          <w:rFonts w:hint="eastAsia" w:ascii="仿宋_GB2312" w:hAnsi="仿宋_GB2312" w:eastAsia="仿宋_GB2312" w:cs="仿宋_GB2312"/>
          <w:sz w:val="32"/>
          <w:szCs w:val="32"/>
        </w:rPr>
        <w:t>：指本年度从本级财政部门取得的财政拨款，包括一般公共预算财政拨款和政府性基金预算财政拨款。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二、事业收入</w:t>
      </w:r>
      <w:r>
        <w:rPr>
          <w:rFonts w:hint="eastAsia" w:ascii="仿宋_GB2312" w:hAnsi="仿宋_GB2312" w:eastAsia="仿宋_GB2312" w:cs="仿宋_GB2312"/>
          <w:sz w:val="32"/>
          <w:szCs w:val="32"/>
        </w:rPr>
        <w:t>：指事业单位开展专业业务活动及其辅助活动取得的现金流入；事业单位收到的财政专户实际核拨的教育收费等资金在此反映。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三、经营收入</w:t>
      </w:r>
      <w:r>
        <w:rPr>
          <w:rFonts w:hint="eastAsia" w:ascii="仿宋_GB2312" w:hAnsi="仿宋_GB2312" w:eastAsia="仿宋_GB2312" w:cs="仿宋_GB2312"/>
          <w:sz w:val="32"/>
          <w:szCs w:val="32"/>
        </w:rPr>
        <w:t>：指事业单位在专业业务活动及其辅助活动之外开展非独立核算经营活动取得的现金流入。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四、其他收入</w:t>
      </w:r>
      <w:r>
        <w:rPr>
          <w:rFonts w:hint="eastAsia" w:ascii="仿宋_GB2312" w:hAnsi="仿宋_GB2312" w:eastAsia="仿宋_GB2312" w:cs="仿宋_GB2312"/>
          <w:sz w:val="32"/>
          <w:szCs w:val="32"/>
        </w:rPr>
        <w:t>：指单位取得的除“财政拨款收入”、“事业收入”、“经营收入”等以外 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五、年初结转和结余</w:t>
      </w:r>
      <w:r>
        <w:rPr>
          <w:rFonts w:hint="eastAsia" w:ascii="仿宋_GB2312" w:hAnsi="仿宋_GB2312" w:eastAsia="仿宋_GB2312" w:cs="仿宋_GB2312"/>
          <w:sz w:val="32"/>
          <w:szCs w:val="32"/>
        </w:rPr>
        <w:t>：指单位上年结转本年使用的基本支出结转、项目支出结转和结余、经营结余。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六、结余分配</w:t>
      </w:r>
      <w:r>
        <w:rPr>
          <w:rFonts w:hint="eastAsia" w:ascii="仿宋_GB2312" w:hAnsi="仿宋_GB2312" w:eastAsia="仿宋_GB2312" w:cs="仿宋_GB2312"/>
          <w:sz w:val="32"/>
          <w:szCs w:val="32"/>
        </w:rPr>
        <w:t>：指单位按照国家有关规定，缴纳所得税、提取专用基金、转入事业基金等当年结余的分配情况。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七、年末结转和结余</w:t>
      </w:r>
      <w:r>
        <w:rPr>
          <w:rFonts w:hint="eastAsia" w:ascii="仿宋_GB2312" w:hAnsi="仿宋_GB2312" w:eastAsia="仿宋_GB2312" w:cs="仿宋_GB2312"/>
          <w:sz w:val="32"/>
          <w:szCs w:val="32"/>
        </w:rPr>
        <w:t>：指单位结转下年的基本支出结转、项目支出结转和结余、经营结余。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八、基本支出</w:t>
      </w:r>
      <w:r>
        <w:rPr>
          <w:rFonts w:hint="eastAsia" w:ascii="仿宋_GB2312" w:hAnsi="仿宋_GB2312" w:eastAsia="仿宋_GB2312" w:cs="仿宋_GB231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九、项目支出</w:t>
      </w:r>
      <w:r>
        <w:rPr>
          <w:rFonts w:hint="eastAsia" w:ascii="仿宋_GB2312" w:hAnsi="仿宋_GB2312" w:eastAsia="仿宋_GB2312" w:cs="仿宋_GB2312"/>
          <w:sz w:val="32"/>
          <w:szCs w:val="32"/>
        </w:rPr>
        <w:t>：指在基本支出之外为完成特定行政任务和事业发展目标所发生的支出。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十一、“三公”经费</w:t>
      </w:r>
      <w:r>
        <w:rPr>
          <w:rFonts w:hint="eastAsia" w:ascii="仿宋_GB2312" w:hAnsi="仿宋_GB2312" w:eastAsia="仿宋_GB2312" w:cs="仿宋_GB2312"/>
          <w:sz w:val="32"/>
          <w:szCs w:val="32"/>
        </w:rP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十二、机关运行经费</w:t>
      </w:r>
      <w:r>
        <w:rPr>
          <w:rFonts w:hint="eastAsia" w:ascii="仿宋_GB2312" w:hAnsi="仿宋_GB2312" w:eastAsia="仿宋_GB2312" w:cs="仿宋_GB2312"/>
          <w:sz w:val="32"/>
          <w:szCs w:val="32"/>
        </w:rPr>
        <w:t>：为保障行政单位（含参照公务员法管理的事业单位）运行用于购买 货物和服务等的各项公用经费，包括办公及印刷费、邮电费、差旅费、会议费、福利费、日常维护费、专用材料及一般设备购置费、办公用房水电费、办公用房取暖 费、办公用房物业管理费、公务用车运行维护费以及其他费用。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十三、工资福利支出（支出经济分类科目类级）</w:t>
      </w:r>
      <w:r>
        <w:rPr>
          <w:rFonts w:hint="eastAsia" w:ascii="仿宋_GB2312" w:hAnsi="仿宋_GB2312" w:eastAsia="仿宋_GB2312" w:cs="仿宋_GB2312"/>
          <w:sz w:val="32"/>
          <w:szCs w:val="32"/>
        </w:rPr>
        <w:t>：反映单位开支的在职职工和编制外长期聘用人员的各类劳动报酬，以及为上述人员缴纳的各项社会保险费等。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十四、商品和服务支出（支出经济分类科目类级）</w:t>
      </w:r>
      <w:r>
        <w:rPr>
          <w:rFonts w:hint="eastAsia" w:ascii="仿宋_GB2312" w:hAnsi="仿宋_GB2312" w:eastAsia="仿宋_GB2312" w:cs="仿宋_GB2312"/>
          <w:sz w:val="32"/>
          <w:szCs w:val="32"/>
        </w:rPr>
        <w:t>：反映单位购买商品和服务的支出（不包括用于购置固定资产的支出、战略性和应急储备支出）。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十五、对个人和家庭的补助（支出经济分类科目类级）</w:t>
      </w:r>
      <w:r>
        <w:rPr>
          <w:rFonts w:hint="eastAsia" w:ascii="仿宋_GB2312" w:hAnsi="仿宋_GB2312" w:eastAsia="仿宋_GB2312" w:cs="仿宋_GB2312"/>
          <w:sz w:val="32"/>
          <w:szCs w:val="32"/>
        </w:rPr>
        <w:t>：反映用于对个人和家庭的补助支出。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lang w:val="en-US" w:eastAsia="zh-CN"/>
        </w:rPr>
        <w:t xml:space="preserve">    </w:t>
      </w:r>
      <w:r>
        <w:rPr>
          <w:rStyle w:val="5"/>
          <w:rFonts w:hint="eastAsia" w:ascii="仿宋_GB2312" w:hAnsi="仿宋_GB2312" w:eastAsia="仿宋_GB2312" w:cs="仿宋_GB2312"/>
          <w:sz w:val="32"/>
          <w:szCs w:val="32"/>
        </w:rPr>
        <w:t>十六、其他资本性支出（支出经济分类科目类级）</w:t>
      </w:r>
      <w:r>
        <w:rPr>
          <w:rFonts w:hint="eastAsia" w:ascii="仿宋_GB2312" w:hAnsi="仿宋_GB2312" w:eastAsia="仿宋_GB2312" w:cs="仿宋_GB2312"/>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mbria Math">
    <w:panose1 w:val="02040503050406030204"/>
    <w:charset w:val="00"/>
    <w:family w:val="modern"/>
    <w:pitch w:val="default"/>
    <w:sig w:usb0="E00002FF" w:usb1="420024FF" w:usb2="00000000" w:usb3="00000000" w:csb0="200001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Math">
    <w:panose1 w:val="02040503050406030204"/>
    <w:charset w:val="00"/>
    <w:family w:val="swiss"/>
    <w:pitch w:val="default"/>
    <w:sig w:usb0="E00002FF" w:usb1="420024FF" w:usb2="00000000" w:usb3="00000000" w:csb0="2000019F" w:csb1="00000000"/>
  </w:font>
  <w:font w:name="PMingLiU">
    <w:panose1 w:val="02020500000000000000"/>
    <w:charset w:val="88"/>
    <w:family w:val="modern"/>
    <w:pitch w:val="default"/>
    <w:sig w:usb0="A00002FF" w:usb1="28CFFCFA" w:usb2="00000016" w:usb3="00000000" w:csb0="0010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Math">
    <w:panose1 w:val="02040503050406030204"/>
    <w:charset w:val="00"/>
    <w:family w:val="decorative"/>
    <w:pitch w:val="default"/>
    <w:sig w:usb0="E00002FF" w:usb1="420024FF" w:usb2="00000000" w:usb3="00000000" w:csb0="2000019F" w:csb1="00000000"/>
  </w:font>
  <w:font w:name="PMingLiU">
    <w:panose1 w:val="02020500000000000000"/>
    <w:charset w:val="88"/>
    <w:family w:val="swiss"/>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65791"/>
    <w:rsid w:val="0EEA4289"/>
    <w:rsid w:val="10F442DE"/>
    <w:rsid w:val="171966F1"/>
    <w:rsid w:val="1C6F2DB6"/>
    <w:rsid w:val="1C7B464A"/>
    <w:rsid w:val="22112E52"/>
    <w:rsid w:val="22DB7B3C"/>
    <w:rsid w:val="26CA14AA"/>
    <w:rsid w:val="2D74241F"/>
    <w:rsid w:val="31CF1D43"/>
    <w:rsid w:val="336E17F0"/>
    <w:rsid w:val="38AE268C"/>
    <w:rsid w:val="3AA9374B"/>
    <w:rsid w:val="40861EE7"/>
    <w:rsid w:val="41101E4C"/>
    <w:rsid w:val="435F0417"/>
    <w:rsid w:val="465F0D84"/>
    <w:rsid w:val="4B2038D0"/>
    <w:rsid w:val="4CCE2312"/>
    <w:rsid w:val="4D4E2860"/>
    <w:rsid w:val="4F993B1E"/>
    <w:rsid w:val="525748A7"/>
    <w:rsid w:val="55750F41"/>
    <w:rsid w:val="5CF06319"/>
    <w:rsid w:val="5E7F7895"/>
    <w:rsid w:val="5EDC21AD"/>
    <w:rsid w:val="64457A91"/>
    <w:rsid w:val="6A0D3D09"/>
    <w:rsid w:val="77C94015"/>
    <w:rsid w:val="7C9603F6"/>
    <w:rsid w:val="7CC80845"/>
    <w:rsid w:val="7CFC361E"/>
    <w:rsid w:val="7FF123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rPr>
      <w:rFonts w:ascii="Calibri Light" w:hAnsi="Calibri Light" w:eastAsia="黑体"/>
      <w:sz w:val="20"/>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报告正文"/>
    <w:basedOn w:val="1"/>
    <w:qFormat/>
    <w:uiPriority w:val="0"/>
    <w:pPr>
      <w:spacing w:before="0" w:beforeAutospacing="0" w:after="0" w:afterAutospacing="0" w:line="660" w:lineRule="exact"/>
      <w:ind w:left="0" w:right="0" w:firstLine="640" w:firstLineChars="200"/>
      <w:jc w:val="both"/>
    </w:pPr>
    <w:rPr>
      <w:rFonts w:hint="default" w:ascii="Times New Roman" w:hAnsi="Times New Roman" w:eastAsia="仿宋_GB2312" w:cs="Times New Roman"/>
      <w:kern w:val="0"/>
      <w:sz w:val="32"/>
      <w:szCs w:val="32"/>
      <w:lang w:val="en-US" w:eastAsia="zh-CN" w:bidi="ar"/>
    </w:rPr>
  </w:style>
  <w:style w:type="paragraph" w:customStyle="1" w:styleId="8">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5"/>
    <w:basedOn w:val="4"/>
    <w:qFormat/>
    <w:uiPriority w:val="0"/>
    <w:rPr>
      <w:rFonts w:hint="eastAsia" w:ascii="仿宋_GB2312" w:eastAsia="仿宋_GB2312" w:cs="仿宋_GB2312"/>
      <w:color w:val="000000"/>
      <w:sz w:val="32"/>
      <w:szCs w:val="32"/>
    </w:rPr>
  </w:style>
  <w:style w:type="character" w:customStyle="1" w:styleId="10">
    <w:name w:val="19"/>
    <w:basedOn w:val="4"/>
    <w:qFormat/>
    <w:uiPriority w:val="0"/>
    <w:rPr>
      <w:rFonts w:hint="eastAsia"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2022-08-23T04:58:51Z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