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仿宋"/>
          <w:vanish/>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省人大常委会机关后勤服务中心</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lang w:val="en-US" w:eastAsia="zh-CN"/>
        </w:rPr>
        <w:t>21</w:t>
      </w:r>
      <w:r>
        <w:rPr>
          <w:rFonts w:hint="eastAsia" w:ascii="方正小标宋简体" w:hAnsi="方正小标宋简体" w:eastAsia="方正小标宋简体" w:cs="方正小标宋简体"/>
          <w:color w:val="auto"/>
          <w:sz w:val="44"/>
          <w:szCs w:val="44"/>
        </w:rPr>
        <w:t>年度部门决算</w:t>
      </w:r>
      <w:r>
        <w:rPr>
          <w:rFonts w:hint="eastAsia" w:ascii="方正小标宋简体" w:hAnsi="方正小标宋简体" w:eastAsia="方正小标宋简体" w:cs="方正小标宋简体"/>
          <w:color w:val="auto"/>
          <w:sz w:val="44"/>
          <w:szCs w:val="44"/>
          <w:lang w:val="en-US" w:eastAsia="zh-CN"/>
        </w:rPr>
        <w:t>公开说明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val="en-US" w:eastAsia="zh-CN"/>
        </w:rPr>
        <w:t>甘肃省人大常委会机关后勤服务中心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default" w:ascii="仿宋" w:hAnsi="仿宋" w:eastAsia="仿宋" w:cs="仿宋"/>
          <w:color w:val="auto"/>
          <w:kern w:val="0"/>
          <w:sz w:val="32"/>
          <w:szCs w:val="32"/>
          <w:lang w:val="en-US" w:eastAsia="zh-CN"/>
        </w:rPr>
      </w:pPr>
      <w:r>
        <w:rPr>
          <w:rFonts w:hint="eastAsia" w:ascii="楷体" w:hAnsi="楷体" w:eastAsia="楷体" w:cs="楷体"/>
          <w:color w:val="auto"/>
          <w:kern w:val="0"/>
          <w:sz w:val="32"/>
          <w:szCs w:val="32"/>
          <w:lang w:val="en-US" w:eastAsia="zh-CN"/>
        </w:rPr>
        <w:t>2022年8月19日</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目</w:t>
      </w:r>
      <w:r>
        <w:rPr>
          <w:rFonts w:hint="eastAsia" w:ascii="仿宋" w:hAnsi="仿宋" w:eastAsia="仿宋" w:cs="仿宋"/>
          <w:b/>
          <w:bCs/>
          <w:color w:val="auto"/>
          <w:kern w:val="0"/>
          <w:sz w:val="32"/>
          <w:szCs w:val="32"/>
          <w:lang w:val="en-US" w:eastAsia="zh-CN"/>
        </w:rPr>
        <w:t xml:space="preserve">   </w:t>
      </w:r>
      <w:r>
        <w:rPr>
          <w:rFonts w:hint="eastAsia" w:ascii="仿宋" w:hAnsi="仿宋" w:eastAsia="仿宋" w:cs="仿宋"/>
          <w:b/>
          <w:bCs/>
          <w:color w:val="auto"/>
          <w:kern w:val="0"/>
          <w:sz w:val="32"/>
          <w:szCs w:val="32"/>
        </w:rPr>
        <w:t>录</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第一部分 部门概括</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一、部门职责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二、</w:t>
      </w:r>
      <w:r>
        <w:rPr>
          <w:rFonts w:hint="eastAsia" w:ascii="仿宋" w:hAnsi="仿宋" w:eastAsia="仿宋" w:cs="仿宋"/>
          <w:color w:val="auto"/>
          <w:kern w:val="0"/>
          <w:sz w:val="32"/>
          <w:szCs w:val="32"/>
        </w:rPr>
        <w:t>机构设置</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第二部分 2021年度部门决算表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一、收入支出决算总表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二、收入决算表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三、支出决算表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四、财政拨款收入支出决算总表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五、一般公共预算财政拨款支出决算表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六、一般公共预算财政拨款基本支出决算表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七、一般公共预算财政拨款“三公”经费支出决算表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八、政府性基金预算财政拨款收入支出决算表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九、国有资本经营预算财政拨款支出决算表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第三部分 2021年度部门决算情况说明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一、收入支出决算总体情况说明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二、收入决算情况说明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四、财政拨款收入支出决算总体情况说明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五、一般公共预算财政拨款支出决算情况说明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六、一般公共预算财政拨款基本支出决算情况说明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七、一般公共预算财政拨款“三公”经费支出决算情况说明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八、机关运行经费支出情况说明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九、政府采购支出情况说明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十、国有资产占用情况说明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十一、政府性基金预算财政拨款收支决算情况说明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十二、国有资本经营预算财政拨款支出情况说明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十三、预算绩效情况说明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第一部分 部门概括</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一、部门职责</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人大常委会机关后勤服务中心为省人大机关办公和职工生活提供相关后勤保障，为省人大常委会各类会议提供食宿和会场服务，负责会议中心、官山林场固定资产管理工作，做好林场绿化、美化、防火、防汛等工作，承担会议中心和官山林场聘用人员的录用、培训、使用和管理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二、</w:t>
      </w:r>
      <w:r>
        <w:rPr>
          <w:rFonts w:hint="eastAsia" w:ascii="黑体" w:hAnsi="黑体" w:eastAsia="黑体" w:cs="黑体"/>
          <w:color w:val="auto"/>
          <w:kern w:val="0"/>
          <w:sz w:val="32"/>
          <w:szCs w:val="32"/>
        </w:rPr>
        <w:t>机构设置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560" w:lineRule="exact"/>
        <w:ind w:leftChars="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sz w:val="32"/>
          <w:szCs w:val="32"/>
        </w:rPr>
        <w:t>省人大常委会机关后勤服务中心是省人大常委会直属事业单位，于2015年12月正式成立（甘机编办通字[2015]81号），处级建制，财务独立核算的二级预算单位，在省人大常委会办公厅领导下开展工作，接受省人大常委办公厅财务监管。省人大常委会机关后勤服务中心负责管理机关食堂、官山林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个部门。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第二部分 2021年度部门决算表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一、收入支出决算总表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二、收入决算表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三、支出决算表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四、财政拨款收入支出决算总表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五、一般公共预算财政拨款支出决算表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六、一般公共预算财政拨款基本支出决算表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七、一般公共预算财政拨款“三公”经费支出决算表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见附件，本表为空表</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八、政府性基金预算财政拨款收入支出决算表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见附件，本表为空表</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九、国有资本经营预算财政拨款支出决算表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见附件，本表为空表</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第三部分 2021年度部门决算情况说明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一、收入支出决算总体情况说明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2021年度收、支总计1,068.20万元。收、支较上年决算数增加</w:t>
      </w:r>
      <w:r>
        <w:rPr>
          <w:rFonts w:hint="eastAsia" w:ascii="仿宋" w:hAnsi="仿宋" w:eastAsia="仿宋" w:cs="仿宋"/>
          <w:color w:val="auto"/>
          <w:kern w:val="0"/>
          <w:sz w:val="32"/>
          <w:szCs w:val="32"/>
          <w:lang w:val="en-US" w:eastAsia="zh-CN"/>
        </w:rPr>
        <w:t>362.31</w:t>
      </w:r>
      <w:r>
        <w:rPr>
          <w:rFonts w:hint="eastAsia" w:ascii="仿宋" w:hAnsi="仿宋" w:eastAsia="仿宋" w:cs="仿宋"/>
          <w:color w:val="auto"/>
          <w:kern w:val="0"/>
          <w:sz w:val="32"/>
          <w:szCs w:val="32"/>
        </w:rPr>
        <w:t>万元,增长</w:t>
      </w:r>
      <w:r>
        <w:rPr>
          <w:rFonts w:hint="eastAsia" w:ascii="仿宋" w:hAnsi="仿宋" w:eastAsia="仿宋" w:cs="仿宋"/>
          <w:color w:val="auto"/>
          <w:kern w:val="0"/>
          <w:sz w:val="32"/>
          <w:szCs w:val="32"/>
          <w:lang w:val="en-US" w:eastAsia="zh-CN"/>
        </w:rPr>
        <w:t>51.33</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val="en-US" w:eastAsia="zh-CN"/>
        </w:rPr>
        <w:t>增加两项财政拨款，包括业务费190万元和水土保持项目经费160万元。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二、收入决算情况说明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2021年度收入合计722.49万元，其中：一般公共预算财政拨款收入722.49万元，占100.00%。</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2021年度支出合计537.47万元，其中：基本支出280.06万元，占52.11%；项目支出257.41万元，占47.89%</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四、财政拨款收入支出决算总体情况说明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2021年度财政拨款收、支总计872.92万元。与2020年相比，财政拨款收、支总计各增加</w:t>
      </w:r>
      <w:r>
        <w:rPr>
          <w:rFonts w:hint="eastAsia" w:ascii="仿宋" w:hAnsi="仿宋" w:eastAsia="仿宋" w:cs="仿宋"/>
          <w:color w:val="auto"/>
          <w:kern w:val="0"/>
          <w:sz w:val="32"/>
          <w:szCs w:val="32"/>
          <w:lang w:val="en-US" w:eastAsia="zh-CN"/>
        </w:rPr>
        <w:t>211.17</w:t>
      </w:r>
      <w:r>
        <w:rPr>
          <w:rFonts w:hint="eastAsia" w:ascii="仿宋" w:hAnsi="仿宋" w:eastAsia="仿宋" w:cs="仿宋"/>
          <w:color w:val="auto"/>
          <w:kern w:val="0"/>
          <w:sz w:val="32"/>
          <w:szCs w:val="32"/>
        </w:rPr>
        <w:t>万元，增长</w:t>
      </w:r>
      <w:r>
        <w:rPr>
          <w:rFonts w:hint="eastAsia" w:ascii="仿宋" w:hAnsi="仿宋" w:eastAsia="仿宋" w:cs="仿宋"/>
          <w:color w:val="auto"/>
          <w:kern w:val="0"/>
          <w:sz w:val="32"/>
          <w:szCs w:val="32"/>
          <w:lang w:val="en-US" w:eastAsia="zh-CN"/>
        </w:rPr>
        <w:t>31.91</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val="en-US" w:eastAsia="zh-CN"/>
        </w:rPr>
        <w:t>增加两项财政拨款，包括业务费190万元和水土保持项目经费160万元。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五、一般公共预算财政拨款支出决算情况说明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2021年度一般公共预算财政拨款支出537.47万元，占本年支出的100.00%，较上年决算数增加</w:t>
      </w:r>
      <w:r>
        <w:rPr>
          <w:rFonts w:hint="eastAsia" w:ascii="仿宋" w:hAnsi="仿宋" w:eastAsia="仿宋" w:cs="仿宋"/>
          <w:color w:val="auto"/>
          <w:kern w:val="0"/>
          <w:sz w:val="32"/>
          <w:szCs w:val="32"/>
          <w:lang w:val="en-US" w:eastAsia="zh-CN"/>
        </w:rPr>
        <w:t>201.79</w:t>
      </w:r>
      <w:r>
        <w:rPr>
          <w:rFonts w:hint="eastAsia" w:ascii="仿宋" w:hAnsi="仿宋" w:eastAsia="仿宋" w:cs="仿宋"/>
          <w:color w:val="auto"/>
          <w:kern w:val="0"/>
          <w:sz w:val="32"/>
          <w:szCs w:val="32"/>
        </w:rPr>
        <w:t>万元，增长</w:t>
      </w:r>
      <w:r>
        <w:rPr>
          <w:rFonts w:hint="eastAsia" w:ascii="仿宋" w:hAnsi="仿宋" w:eastAsia="仿宋" w:cs="仿宋"/>
          <w:color w:val="auto"/>
          <w:kern w:val="0"/>
          <w:sz w:val="32"/>
          <w:szCs w:val="32"/>
          <w:lang w:val="en-US" w:eastAsia="zh-CN"/>
        </w:rPr>
        <w:t>60.11</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val="en-US" w:eastAsia="zh-CN"/>
        </w:rPr>
        <w:t>增加两项财政拨款，包括业务费190万元和水土保持项目经费160万元。</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rPr>
        <w:t>1．一般公共服务支出</w:t>
      </w:r>
      <w:r>
        <w:rPr>
          <w:rFonts w:hint="eastAsia" w:ascii="仿宋" w:hAnsi="仿宋" w:eastAsia="仿宋" w:cs="仿宋"/>
          <w:color w:val="auto"/>
          <w:kern w:val="0"/>
          <w:sz w:val="32"/>
          <w:szCs w:val="32"/>
        </w:rPr>
        <w:t>年初预算数为498.92万元，支出决算为470.90万元，完成年初预算的94.38%,决算数小于预算数的</w:t>
      </w:r>
      <w:r>
        <w:rPr>
          <w:rFonts w:hint="eastAsia" w:ascii="仿宋" w:hAnsi="仿宋" w:eastAsia="仿宋" w:cs="仿宋"/>
          <w:color w:val="auto"/>
          <w:kern w:val="0"/>
          <w:sz w:val="32"/>
          <w:szCs w:val="32"/>
          <w:lang w:val="en-US" w:eastAsia="zh-CN"/>
        </w:rPr>
        <w:t>还有未付款的费用。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rPr>
        <w:t>．社会保障和就业支出</w:t>
      </w:r>
      <w:r>
        <w:rPr>
          <w:rFonts w:hint="eastAsia" w:ascii="仿宋" w:hAnsi="仿宋" w:eastAsia="仿宋" w:cs="仿宋"/>
          <w:color w:val="auto"/>
          <w:kern w:val="0"/>
          <w:sz w:val="32"/>
          <w:szCs w:val="32"/>
        </w:rPr>
        <w:t>年初预算数为26.67万元，支出决算为26.67万元，完成年初预算的100.00%</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rPr>
        <w:t>．卫生健康支出</w:t>
      </w:r>
      <w:r>
        <w:rPr>
          <w:rFonts w:hint="eastAsia" w:ascii="仿宋" w:hAnsi="仿宋" w:eastAsia="仿宋" w:cs="仿宋"/>
          <w:color w:val="auto"/>
          <w:kern w:val="0"/>
          <w:sz w:val="32"/>
          <w:szCs w:val="32"/>
        </w:rPr>
        <w:t>年初预算数为18.15万元，支出决算为18.15万元，完成年初预算的100.00%</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4</w:t>
      </w:r>
      <w:r>
        <w:rPr>
          <w:rFonts w:hint="eastAsia" w:ascii="仿宋" w:hAnsi="仿宋" w:eastAsia="仿宋" w:cs="仿宋"/>
          <w:b/>
          <w:bCs/>
          <w:color w:val="auto"/>
          <w:kern w:val="0"/>
          <w:sz w:val="32"/>
          <w:szCs w:val="32"/>
        </w:rPr>
        <w:t>．农林水支出</w:t>
      </w:r>
      <w:r>
        <w:rPr>
          <w:rFonts w:hint="eastAsia" w:ascii="仿宋" w:hAnsi="仿宋" w:eastAsia="仿宋" w:cs="仿宋"/>
          <w:color w:val="auto"/>
          <w:kern w:val="0"/>
          <w:sz w:val="32"/>
          <w:szCs w:val="32"/>
        </w:rPr>
        <w:t>年初预算数为160.00万元，支出决算为3.00万元，完成年初预算的1.88%,决算数小于预算数的</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val="en-US" w:eastAsia="zh-CN"/>
        </w:rPr>
        <w:t>因工程项目还处于项目设计勘测阶段</w:t>
      </w:r>
      <w:r>
        <w:rPr>
          <w:rFonts w:hint="eastAsia" w:ascii="仿宋" w:hAnsi="仿宋" w:eastAsia="仿宋" w:cs="仿宋"/>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5</w:t>
      </w:r>
      <w:r>
        <w:rPr>
          <w:rFonts w:hint="eastAsia" w:ascii="仿宋" w:hAnsi="仿宋" w:eastAsia="仿宋" w:cs="仿宋"/>
          <w:b/>
          <w:bCs/>
          <w:color w:val="auto"/>
          <w:kern w:val="0"/>
          <w:sz w:val="32"/>
          <w:szCs w:val="32"/>
        </w:rPr>
        <w:t>．住房保障支出</w:t>
      </w:r>
      <w:r>
        <w:rPr>
          <w:rFonts w:hint="eastAsia" w:ascii="仿宋" w:hAnsi="仿宋" w:eastAsia="仿宋" w:cs="仿宋"/>
          <w:color w:val="auto"/>
          <w:kern w:val="0"/>
          <w:sz w:val="32"/>
          <w:szCs w:val="32"/>
        </w:rPr>
        <w:t>年初预算数为18.75万元，支出决算为18.75万元，完成年初预算的100.00%</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六、一般公共预算财政拨款基本支出决算情况说明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2021年度一般公共预算财政拨款基本支出280.06万元。其中：</w:t>
      </w:r>
      <w:r>
        <w:rPr>
          <w:rFonts w:hint="eastAsia" w:ascii="仿宋" w:hAnsi="仿宋" w:eastAsia="仿宋" w:cs="仿宋"/>
          <w:b/>
          <w:bCs/>
          <w:color w:val="auto"/>
          <w:kern w:val="0"/>
          <w:sz w:val="32"/>
          <w:szCs w:val="32"/>
        </w:rPr>
        <w:t>人员经费</w:t>
      </w:r>
      <w:r>
        <w:rPr>
          <w:rFonts w:hint="eastAsia" w:ascii="仿宋" w:hAnsi="仿宋" w:eastAsia="仿宋" w:cs="仿宋"/>
          <w:color w:val="auto"/>
          <w:kern w:val="0"/>
          <w:sz w:val="32"/>
          <w:szCs w:val="32"/>
        </w:rPr>
        <w:t>274.52万元，较上年</w:t>
      </w:r>
      <w:r>
        <w:rPr>
          <w:rFonts w:hint="eastAsia" w:ascii="仿宋" w:hAnsi="仿宋" w:eastAsia="仿宋" w:cs="仿宋"/>
          <w:color w:val="auto"/>
          <w:kern w:val="0"/>
          <w:sz w:val="32"/>
          <w:szCs w:val="32"/>
          <w:lang w:val="en-US" w:eastAsia="zh-CN"/>
        </w:rPr>
        <w:t>208.62</w:t>
      </w:r>
      <w:r>
        <w:rPr>
          <w:rFonts w:hint="eastAsia" w:ascii="仿宋" w:hAnsi="仿宋" w:eastAsia="仿宋" w:cs="仿宋"/>
          <w:color w:val="auto"/>
          <w:kern w:val="0"/>
          <w:sz w:val="32"/>
          <w:szCs w:val="32"/>
        </w:rPr>
        <w:t>决算数增加</w:t>
      </w:r>
      <w:r>
        <w:rPr>
          <w:rFonts w:hint="eastAsia" w:ascii="仿宋" w:hAnsi="仿宋" w:eastAsia="仿宋" w:cs="仿宋"/>
          <w:color w:val="auto"/>
          <w:kern w:val="0"/>
          <w:sz w:val="32"/>
          <w:szCs w:val="32"/>
          <w:lang w:val="en-US" w:eastAsia="zh-CN"/>
        </w:rPr>
        <w:t>65.9</w:t>
      </w:r>
      <w:r>
        <w:rPr>
          <w:rFonts w:hint="eastAsia" w:ascii="仿宋" w:hAnsi="仿宋" w:eastAsia="仿宋" w:cs="仿宋"/>
          <w:color w:val="auto"/>
          <w:kern w:val="0"/>
          <w:sz w:val="32"/>
          <w:szCs w:val="32"/>
        </w:rPr>
        <w:t>万元，增长</w:t>
      </w:r>
      <w:r>
        <w:rPr>
          <w:rFonts w:hint="eastAsia" w:ascii="仿宋" w:hAnsi="仿宋" w:eastAsia="仿宋" w:cs="仿宋"/>
          <w:color w:val="auto"/>
          <w:kern w:val="0"/>
          <w:sz w:val="32"/>
          <w:szCs w:val="32"/>
          <w:lang w:val="en-US" w:eastAsia="zh-CN"/>
        </w:rPr>
        <w:t>31.59</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val="en-US" w:eastAsia="zh-CN"/>
        </w:rPr>
        <w:t>2021年新增两名人员。</w:t>
      </w:r>
      <w:r>
        <w:rPr>
          <w:rFonts w:hint="eastAsia" w:ascii="仿宋" w:hAnsi="仿宋" w:eastAsia="仿宋" w:cs="仿宋"/>
          <w:color w:val="auto"/>
          <w:kern w:val="0"/>
          <w:sz w:val="32"/>
          <w:szCs w:val="32"/>
        </w:rPr>
        <w:t>人员经费用途主要包括</w:t>
      </w:r>
      <w:r>
        <w:rPr>
          <w:rFonts w:hint="eastAsia" w:ascii="仿宋" w:hAnsi="仿宋" w:eastAsia="仿宋" w:cs="仿宋"/>
          <w:color w:val="auto"/>
          <w:kern w:val="0"/>
          <w:sz w:val="32"/>
          <w:szCs w:val="32"/>
        </w:rPr>
        <w:t>基本工资、津贴补贴、奖金、社会保障缴费</w:t>
      </w:r>
      <w:r>
        <w:rPr>
          <w:rFonts w:hint="eastAsia" w:ascii="仿宋" w:hAnsi="仿宋" w:eastAsia="仿宋" w:cs="仿宋"/>
          <w:color w:val="auto"/>
          <w:kern w:val="0"/>
          <w:sz w:val="32"/>
          <w:szCs w:val="32"/>
          <w:lang w:val="en-US" w:eastAsia="zh-CN"/>
        </w:rPr>
        <w:t>等</w:t>
      </w:r>
      <w:r>
        <w:rPr>
          <w:rFonts w:hint="eastAsia" w:ascii="仿宋" w:hAnsi="仿宋" w:eastAsia="仿宋" w:cs="仿宋"/>
          <w:color w:val="auto"/>
          <w:kern w:val="0"/>
          <w:sz w:val="32"/>
          <w:szCs w:val="32"/>
        </w:rPr>
        <w:t>。</w:t>
      </w:r>
      <w:r>
        <w:rPr>
          <w:rFonts w:hint="eastAsia" w:ascii="仿宋" w:hAnsi="仿宋" w:eastAsia="仿宋" w:cs="仿宋"/>
          <w:b/>
          <w:bCs/>
          <w:color w:val="auto"/>
          <w:kern w:val="0"/>
          <w:sz w:val="32"/>
          <w:szCs w:val="32"/>
        </w:rPr>
        <w:t>公用经费</w:t>
      </w:r>
      <w:r>
        <w:rPr>
          <w:rFonts w:hint="eastAsia" w:ascii="仿宋" w:hAnsi="仿宋" w:eastAsia="仿宋" w:cs="仿宋"/>
          <w:color w:val="auto"/>
          <w:kern w:val="0"/>
          <w:sz w:val="32"/>
          <w:szCs w:val="32"/>
        </w:rPr>
        <w:t>5.53万元，较上年决算数</w:t>
      </w:r>
      <w:r>
        <w:rPr>
          <w:rFonts w:hint="eastAsia" w:ascii="仿宋" w:hAnsi="仿宋" w:eastAsia="仿宋" w:cs="仿宋"/>
          <w:color w:val="auto"/>
          <w:kern w:val="0"/>
          <w:sz w:val="32"/>
          <w:szCs w:val="32"/>
          <w:lang w:val="en-US" w:eastAsia="zh-CN"/>
        </w:rPr>
        <w:t>减少51</w:t>
      </w:r>
      <w:r>
        <w:rPr>
          <w:rFonts w:hint="eastAsia" w:ascii="仿宋" w:hAnsi="仿宋" w:eastAsia="仿宋" w:cs="仿宋"/>
          <w:color w:val="auto"/>
          <w:kern w:val="0"/>
          <w:sz w:val="32"/>
          <w:szCs w:val="32"/>
        </w:rPr>
        <w:t>.53万元，增长</w:t>
      </w:r>
      <w:r>
        <w:rPr>
          <w:rFonts w:hint="eastAsia" w:ascii="仿宋" w:hAnsi="仿宋" w:eastAsia="仿宋" w:cs="仿宋"/>
          <w:color w:val="auto"/>
          <w:kern w:val="0"/>
          <w:sz w:val="32"/>
          <w:szCs w:val="32"/>
          <w:lang w:val="en-US" w:eastAsia="zh-CN"/>
        </w:rPr>
        <w:t>90.31</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val="en-US" w:eastAsia="zh-CN"/>
        </w:rPr>
        <w:t>2021年委托业务费减少。</w:t>
      </w:r>
      <w:r>
        <w:rPr>
          <w:rFonts w:hint="eastAsia" w:ascii="仿宋" w:hAnsi="仿宋" w:eastAsia="仿宋" w:cs="仿宋"/>
          <w:color w:val="auto"/>
          <w:kern w:val="0"/>
          <w:sz w:val="32"/>
          <w:szCs w:val="32"/>
        </w:rPr>
        <w:t>公用经费用途主要包括办公费、手续费</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水电费、工会经费、福利费等。</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七、一般公共预算财政拨款“三公”经费支出决算情况说明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我单位2021年未产生“三公”经费。</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八、机关运行经费支出情况说明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本年度培训费支出0.05万元，较上年决算数增加0.05万元，增长</w:t>
      </w:r>
      <w:r>
        <w:rPr>
          <w:rFonts w:hint="eastAsia" w:ascii="仿宋" w:hAnsi="仿宋" w:eastAsia="仿宋" w:cs="仿宋"/>
          <w:color w:val="auto"/>
          <w:kern w:val="0"/>
          <w:sz w:val="32"/>
          <w:szCs w:val="32"/>
          <w:lang w:val="en-US" w:eastAsia="zh-CN"/>
        </w:rPr>
        <w:t>100</w:t>
      </w:r>
      <w:bookmarkStart w:id="0" w:name="_GoBack"/>
      <w:bookmarkEnd w:id="0"/>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val="en-US" w:eastAsia="zh-CN"/>
        </w:rPr>
        <w:t>有1次培训费用。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九、政府采购支出情况说明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2021年度本部门政府采购支出合计3.70万元，其中：政府采购货物支出3.70万元</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十、国有资产占用情况说明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截至2021年12月31日，本部门共有车辆0辆</w:t>
      </w:r>
      <w:r>
        <w:rPr>
          <w:rFonts w:hint="eastAsia" w:ascii="仿宋" w:hAnsi="仿宋" w:eastAsia="仿宋" w:cs="仿宋"/>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十一、政府性基金预算财政拨款收支决算情况说明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本部门2021年度无政府性基金收入，也没有使用政府性基金安排的支出。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十二、国有资本经营预算财政拨款支出情况说明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16" w:firstLineChars="200"/>
        <w:jc w:val="left"/>
        <w:textAlignment w:val="auto"/>
        <w:rPr>
          <w:rFonts w:hint="eastAsia" w:ascii="仿宋" w:hAnsi="仿宋" w:eastAsia="仿宋" w:cs="仿宋"/>
          <w:color w:val="auto"/>
          <w:spacing w:val="-20"/>
          <w:kern w:val="0"/>
          <w:sz w:val="32"/>
          <w:szCs w:val="32"/>
        </w:rPr>
      </w:pPr>
      <w:r>
        <w:rPr>
          <w:rFonts w:hint="eastAsia" w:ascii="仿宋" w:hAnsi="仿宋" w:eastAsia="仿宋" w:cs="仿宋"/>
          <w:color w:val="auto"/>
          <w:spacing w:val="-6"/>
          <w:kern w:val="0"/>
          <w:sz w:val="32"/>
          <w:szCs w:val="32"/>
        </w:rPr>
        <w:t>本部门2021年度没有使用国有资本经营预算安排的支出。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十三、预算绩效情况说明</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本单位未开展预算绩效管理</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以下为常见专业名词解释目录，仅供参考，部门应根据实际情况进行解释和增减。比如可将类级功能科目和经济科目细化解释到项级。若有删减注意调整段落序号。</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一、财政拨款收入</w:t>
      </w:r>
      <w:r>
        <w:rPr>
          <w:rFonts w:hint="eastAsia" w:ascii="仿宋" w:hAnsi="仿宋" w:eastAsia="仿宋" w:cs="仿宋"/>
          <w:color w:val="auto"/>
          <w:kern w:val="0"/>
          <w:sz w:val="32"/>
          <w:szCs w:val="32"/>
        </w:rPr>
        <w:t>：指本年度从本级财政部门取得的财政拨款，包括一般公共预算财政拨款和政府性基金预算财政拨款。</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二、事业收入</w:t>
      </w:r>
      <w:r>
        <w:rPr>
          <w:rFonts w:hint="eastAsia" w:ascii="仿宋" w:hAnsi="仿宋" w:eastAsia="仿宋" w:cs="仿宋"/>
          <w:color w:val="auto"/>
          <w:kern w:val="0"/>
          <w:sz w:val="32"/>
          <w:szCs w:val="32"/>
        </w:rPr>
        <w:t>：指事业单位开展专业业务活动及其辅助活动取得的现金流入；事业单位收到的财政专户实际核拨的教育收费等资金在此反映。</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三、经营收入</w:t>
      </w:r>
      <w:r>
        <w:rPr>
          <w:rFonts w:hint="eastAsia" w:ascii="仿宋" w:hAnsi="仿宋" w:eastAsia="仿宋" w:cs="仿宋"/>
          <w:color w:val="auto"/>
          <w:kern w:val="0"/>
          <w:sz w:val="32"/>
          <w:szCs w:val="32"/>
        </w:rPr>
        <w:t>：指事业单位在专业业务活动及其辅助活动之外开展非独立核算经营活动取得的现金流入。</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四、其他收入</w:t>
      </w:r>
      <w:r>
        <w:rPr>
          <w:rFonts w:hint="eastAsia" w:ascii="仿宋" w:hAnsi="仿宋" w:eastAsia="仿宋" w:cs="仿宋"/>
          <w:color w:val="auto"/>
          <w:kern w:val="0"/>
          <w:sz w:val="32"/>
          <w:szCs w:val="32"/>
        </w:rPr>
        <w:t>：指单位取得的除“财政拨款收入”、“事业收入”、“经营收入”等以外 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五、年初结转和结余</w:t>
      </w:r>
      <w:r>
        <w:rPr>
          <w:rFonts w:hint="eastAsia" w:ascii="仿宋" w:hAnsi="仿宋" w:eastAsia="仿宋" w:cs="仿宋"/>
          <w:color w:val="auto"/>
          <w:kern w:val="0"/>
          <w:sz w:val="32"/>
          <w:szCs w:val="32"/>
        </w:rPr>
        <w:t>：指单位上年结转本年使用的基本支出结转、项目支出结转和结余、经营结余。</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六、结余分配</w:t>
      </w:r>
      <w:r>
        <w:rPr>
          <w:rFonts w:hint="eastAsia" w:ascii="仿宋" w:hAnsi="仿宋" w:eastAsia="仿宋" w:cs="仿宋"/>
          <w:color w:val="auto"/>
          <w:kern w:val="0"/>
          <w:sz w:val="32"/>
          <w:szCs w:val="32"/>
        </w:rPr>
        <w:t>：指单位按照国家有关规定，缴纳所得税、提取专用基金、转入事业基金等当年结余的分配情况。</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七、年末结转和结余</w:t>
      </w:r>
      <w:r>
        <w:rPr>
          <w:rFonts w:hint="eastAsia" w:ascii="仿宋" w:hAnsi="仿宋" w:eastAsia="仿宋" w:cs="仿宋"/>
          <w:color w:val="auto"/>
          <w:kern w:val="0"/>
          <w:sz w:val="32"/>
          <w:szCs w:val="32"/>
        </w:rPr>
        <w:t>：指单位结转下年的基本支出结转、项目支出结转和结余、经营结余。</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八、基本支出</w:t>
      </w:r>
      <w:r>
        <w:rPr>
          <w:rFonts w:hint="eastAsia" w:ascii="仿宋" w:hAnsi="仿宋" w:eastAsia="仿宋" w:cs="仿宋"/>
          <w:color w:val="auto"/>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九、项目支出</w:t>
      </w:r>
      <w:r>
        <w:rPr>
          <w:rFonts w:hint="eastAsia" w:ascii="仿宋" w:hAnsi="仿宋" w:eastAsia="仿宋" w:cs="仿宋"/>
          <w:color w:val="auto"/>
          <w:kern w:val="0"/>
          <w:sz w:val="32"/>
          <w:szCs w:val="32"/>
        </w:rPr>
        <w:t>：指在基本支出之外为完成特定行政任务和事业发展目标所发生的支出。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十、经营支出</w:t>
      </w:r>
      <w:r>
        <w:rPr>
          <w:rFonts w:hint="eastAsia" w:ascii="仿宋" w:hAnsi="仿宋" w:eastAsia="仿宋" w:cs="仿宋"/>
          <w:color w:val="auto"/>
          <w:kern w:val="0"/>
          <w:sz w:val="32"/>
          <w:szCs w:val="32"/>
        </w:rPr>
        <w:t>：指事业单位在专业业务活动及其辅助活动之外开展非独立核算经营活动发生的支出。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十一、“三公”经费</w:t>
      </w:r>
      <w:r>
        <w:rPr>
          <w:rFonts w:hint="eastAsia" w:ascii="仿宋" w:hAnsi="仿宋" w:eastAsia="仿宋" w:cs="仿宋"/>
          <w:color w:val="auto"/>
          <w:kern w:val="0"/>
          <w:sz w:val="32"/>
          <w:szCs w:val="32"/>
        </w:rP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十二、机关运行经费</w:t>
      </w:r>
      <w:r>
        <w:rPr>
          <w:rFonts w:hint="eastAsia" w:ascii="仿宋" w:hAnsi="仿宋" w:eastAsia="仿宋" w:cs="仿宋"/>
          <w:color w:val="auto"/>
          <w:kern w:val="0"/>
          <w:sz w:val="32"/>
          <w:szCs w:val="32"/>
        </w:rPr>
        <w:t>：为保障行政单位（含参照公务员法管理的事业单位）运行用于购买 货物和服务等的各项公用经费，包括办公及印刷费、邮电费、差旅费、会议费、福利费、日常维护费、专用材料及一般设备购置费、办公用房水电费、办公用房取暖 费、办公用房物业管理费、公务用车运行维护费以及其他费用。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十三、工资福利支出</w:t>
      </w:r>
      <w:r>
        <w:rPr>
          <w:rFonts w:hint="eastAsia" w:ascii="仿宋" w:hAnsi="仿宋" w:eastAsia="仿宋" w:cs="仿宋"/>
          <w:color w:val="auto"/>
          <w:kern w:val="0"/>
          <w:sz w:val="32"/>
          <w:szCs w:val="32"/>
        </w:rPr>
        <w:t>（支出经济分类科目类级）：反映单位开支的在职职工和编制外长期聘用人员的各类劳动报酬，以及为上述人员缴纳的各项社会保险费等。</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十四、商品和服务支出（支出经济分类科目类级）</w:t>
      </w:r>
      <w:r>
        <w:rPr>
          <w:rFonts w:hint="eastAsia" w:ascii="仿宋" w:hAnsi="仿宋" w:eastAsia="仿宋" w:cs="仿宋"/>
          <w:color w:val="auto"/>
          <w:kern w:val="0"/>
          <w:sz w:val="32"/>
          <w:szCs w:val="32"/>
        </w:rPr>
        <w:t>：反映单位购买商品和服务的支出（不包括用于购置固定资产的支出、战略性和应急储备支出）。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十五、对个人和家庭的补助（支出经济分类科目类级）</w:t>
      </w:r>
      <w:r>
        <w:rPr>
          <w:rFonts w:hint="eastAsia" w:ascii="仿宋" w:hAnsi="仿宋" w:eastAsia="仿宋" w:cs="仿宋"/>
          <w:color w:val="auto"/>
          <w:kern w:val="0"/>
          <w:sz w:val="32"/>
          <w:szCs w:val="32"/>
        </w:rPr>
        <w:t>：反映用于对个人和家庭的补助支出。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十六、其他资本性支出（支出经济分类科目类级）</w:t>
      </w:r>
      <w:r>
        <w:rPr>
          <w:rFonts w:hint="eastAsia" w:ascii="仿宋" w:hAnsi="仿宋" w:eastAsia="仿宋" w:cs="仿宋"/>
          <w:color w:val="auto"/>
          <w:kern w:val="0"/>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left:376.15pt;margin-top:0pt;height:144pt;width:43.1pt;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F352F"/>
    <w:multiLevelType w:val="multilevel"/>
    <w:tmpl w:val="36EF35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0YzUwOTJhMTQwNGE3MGQxODNjYzgwYmE3NGRhYTMifQ=="/>
  </w:docVars>
  <w:rsids>
    <w:rsidRoot w:val="00992362"/>
    <w:rsid w:val="00126CC3"/>
    <w:rsid w:val="00992362"/>
    <w:rsid w:val="026E2E7F"/>
    <w:rsid w:val="04CD5B21"/>
    <w:rsid w:val="05BF18AF"/>
    <w:rsid w:val="0C0929E7"/>
    <w:rsid w:val="134211DB"/>
    <w:rsid w:val="16C3120C"/>
    <w:rsid w:val="24BC7A84"/>
    <w:rsid w:val="2E144BF8"/>
    <w:rsid w:val="319B244D"/>
    <w:rsid w:val="3439746C"/>
    <w:rsid w:val="383F6B1D"/>
    <w:rsid w:val="3DE165A9"/>
    <w:rsid w:val="4983338C"/>
    <w:rsid w:val="53DB6E8D"/>
    <w:rsid w:val="551942DF"/>
    <w:rsid w:val="551A1464"/>
    <w:rsid w:val="61D87A4E"/>
    <w:rsid w:val="649B6865"/>
    <w:rsid w:val="6C73400E"/>
    <w:rsid w:val="6D20442E"/>
    <w:rsid w:val="77EE30FE"/>
    <w:rsid w:val="7AD926AB"/>
    <w:rsid w:val="7B247705"/>
    <w:rsid w:val="7C3614E6"/>
    <w:rsid w:val="7D14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ui-state-default"/>
    <w:basedOn w:val="7"/>
    <w:qFormat/>
    <w:uiPriority w:val="0"/>
  </w:style>
  <w:style w:type="character" w:customStyle="1" w:styleId="11">
    <w:name w:val="ui-state-close"/>
    <w:basedOn w:val="7"/>
    <w:qFormat/>
    <w:uiPriority w:val="0"/>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3427</Words>
  <Characters>3730</Characters>
  <Lines>58</Lines>
  <Paragraphs>16</Paragraphs>
  <TotalTime>16</TotalTime>
  <ScaleCrop>false</ScaleCrop>
  <LinksUpToDate>false</LinksUpToDate>
  <CharactersWithSpaces>3761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2022-08-19T02:37:00Z</dcterms:created>
  <dc:creator>PC</dc:creator>
  <cp:lastModifiedBy>lenovo</cp:lastModifiedBy>
  <dcterms:modified xsi:type="dcterms:W3CDTF">2022-08-19T08:05:29Z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C081BE52F9B0489E86DFDE0568F89970</vt:lpwstr>
  </property>
</Properties>
</file>