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C955A">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p>
    <w:p w14:paraId="35C1485A">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p>
    <w:p w14:paraId="367284EE">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p>
    <w:p w14:paraId="5C211E32">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p>
    <w:p w14:paraId="1F587952">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r>
        <w:rPr>
          <w:rFonts w:hint="eastAsia" w:ascii="Times New Roman" w:hAnsi="Times New Roman" w:eastAsia="方正小标宋简体" w:cs="方正小标宋简体"/>
          <w:b w:val="0"/>
          <w:bCs w:val="0"/>
          <w:sz w:val="48"/>
          <w:szCs w:val="48"/>
          <w:lang w:val="en-US" w:eastAsia="zh-CN"/>
        </w:rPr>
        <w:t>甘肃省人民代表大会常务委员会2023</w:t>
      </w:r>
    </w:p>
    <w:p w14:paraId="539C47E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48"/>
          <w:szCs w:val="48"/>
          <w:lang w:val="en-US" w:eastAsia="zh-CN"/>
        </w:rPr>
      </w:pPr>
      <w:r>
        <w:rPr>
          <w:rFonts w:hint="eastAsia" w:ascii="Times New Roman" w:hAnsi="Times New Roman" w:eastAsia="方正小标宋简体" w:cs="方正小标宋简体"/>
          <w:b w:val="0"/>
          <w:bCs w:val="0"/>
          <w:sz w:val="48"/>
          <w:szCs w:val="48"/>
          <w:lang w:val="en-US" w:eastAsia="zh-CN"/>
        </w:rPr>
        <w:t>年度省人大常委会会议费项目</w:t>
      </w:r>
    </w:p>
    <w:p w14:paraId="7244E17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b w:val="0"/>
          <w:bCs w:val="0"/>
          <w:sz w:val="48"/>
          <w:szCs w:val="48"/>
          <w:lang w:val="en-US" w:eastAsia="zh-CN"/>
        </w:rPr>
      </w:pPr>
      <w:r>
        <w:rPr>
          <w:rFonts w:hint="eastAsia" w:ascii="Times New Roman" w:hAnsi="Times New Roman" w:eastAsia="方正小标宋简体" w:cs="方正小标宋简体"/>
          <w:b w:val="0"/>
          <w:bCs w:val="0"/>
          <w:sz w:val="48"/>
          <w:szCs w:val="48"/>
          <w:lang w:val="en-US" w:eastAsia="zh-CN"/>
        </w:rPr>
        <w:t>绩效评价报告</w:t>
      </w:r>
    </w:p>
    <w:p w14:paraId="5D7E48CA"/>
    <w:p w14:paraId="2A25A268"/>
    <w:p w14:paraId="387C411A"/>
    <w:p w14:paraId="01136340"/>
    <w:p w14:paraId="1FB3EEB0"/>
    <w:p w14:paraId="2461FE57"/>
    <w:p w14:paraId="62AF4062"/>
    <w:p w14:paraId="40E5086B"/>
    <w:p w14:paraId="7C97451E"/>
    <w:p w14:paraId="69594650"/>
    <w:p w14:paraId="0DD95A22"/>
    <w:p w14:paraId="18954A44"/>
    <w:p w14:paraId="3D5359E5"/>
    <w:p w14:paraId="66C2BF5B"/>
    <w:p w14:paraId="5F927639"/>
    <w:p w14:paraId="07322CD7"/>
    <w:p w14:paraId="2EEBF2C9"/>
    <w:p w14:paraId="30C10AEE">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default" w:ascii="Times New Roman" w:hAnsi="Times New Roman" w:eastAsia="宋体" w:cs="宋体"/>
          <w:b/>
          <w:bCs/>
          <w:sz w:val="28"/>
          <w:szCs w:val="28"/>
          <w:highlight w:val="none"/>
          <w:lang w:val="en-US" w:eastAsia="zh-CN"/>
        </w:rPr>
      </w:pPr>
      <w:r>
        <w:rPr>
          <w:rFonts w:hint="eastAsia" w:ascii="Times New Roman" w:hAnsi="Times New Roman" w:eastAsia="方正小标宋简体" w:cs="方正小标宋简体"/>
          <w:b w:val="0"/>
          <w:bCs w:val="0"/>
          <w:sz w:val="28"/>
          <w:szCs w:val="28"/>
          <w:lang w:val="en-US" w:eastAsia="zh-CN"/>
        </w:rPr>
        <w:t>甘肃省人民代表大会常务委员会</w:t>
      </w:r>
      <w:r>
        <w:rPr>
          <w:rFonts w:hint="eastAsia" w:eastAsia="方正小标宋简体" w:cs="方正小标宋简体"/>
          <w:b w:val="0"/>
          <w:bCs w:val="0"/>
          <w:sz w:val="28"/>
          <w:szCs w:val="28"/>
          <w:lang w:val="en-US" w:eastAsia="zh-CN"/>
        </w:rPr>
        <w:t>办公厅</w:t>
      </w:r>
      <w:bookmarkStart w:id="168" w:name="_GoBack"/>
      <w:bookmarkEnd w:id="168"/>
    </w:p>
    <w:p w14:paraId="08B632DF">
      <w:pPr>
        <w:pStyle w:val="1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0" w:firstLineChars="0"/>
        <w:jc w:val="center"/>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202</w:t>
      </w:r>
      <w:r>
        <w:rPr>
          <w:rFonts w:hint="eastAsia" w:cs="宋体"/>
          <w:b/>
          <w:bCs/>
          <w:sz w:val="28"/>
          <w:szCs w:val="28"/>
          <w:highlight w:val="none"/>
          <w:lang w:val="en-US" w:eastAsia="zh-CN"/>
        </w:rPr>
        <w:t>4</w:t>
      </w:r>
      <w:r>
        <w:rPr>
          <w:rFonts w:hint="eastAsia" w:ascii="Times New Roman" w:hAnsi="Times New Roman" w:eastAsia="宋体" w:cs="宋体"/>
          <w:b/>
          <w:bCs/>
          <w:sz w:val="28"/>
          <w:szCs w:val="28"/>
          <w:highlight w:val="none"/>
          <w:lang w:val="en-US" w:eastAsia="zh-CN"/>
        </w:rPr>
        <w:t>年6月</w:t>
      </w:r>
    </w:p>
    <w:p w14:paraId="319FAA68">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ascii="宋体" w:hAnsi="宋体" w:eastAsia="宋体" w:cstheme="minorBidi"/>
          <w:b/>
          <w:bCs/>
          <w:kern w:val="2"/>
          <w:sz w:val="28"/>
          <w:szCs w:val="28"/>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2D8A3F33">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ascii="宋体" w:hAnsi="宋体" w:eastAsia="宋体" w:cstheme="minorBidi"/>
          <w:b/>
          <w:bCs/>
          <w:kern w:val="2"/>
          <w:sz w:val="28"/>
          <w:szCs w:val="28"/>
          <w:lang w:val="en-US" w:eastAsia="zh-CN" w:bidi="ar-SA"/>
        </w:rPr>
      </w:pPr>
    </w:p>
    <w:sdt>
      <w:sdtPr>
        <w:rPr>
          <w:rFonts w:ascii="Times New Roman" w:hAnsi="Times New Roman" w:eastAsia="宋体" w:cstheme="minorBidi"/>
          <w:b/>
          <w:bCs/>
          <w:kern w:val="2"/>
          <w:sz w:val="28"/>
          <w:szCs w:val="28"/>
          <w:lang w:val="en-US" w:eastAsia="zh-CN" w:bidi="ar-SA"/>
        </w:rPr>
        <w:id w:val="147461603"/>
        <w15:color w:val="DBDBDB"/>
        <w:docPartObj>
          <w:docPartGallery w:val="Table of Contents"/>
          <w:docPartUnique/>
        </w:docPartObj>
      </w:sdtPr>
      <w:sdtEndPr>
        <w:rPr>
          <w:rFonts w:asciiTheme="minorHAnsi" w:hAnsiTheme="minorHAnsi" w:eastAsiaTheme="minorEastAsia" w:cstheme="minorBidi"/>
          <w:b/>
          <w:bCs/>
          <w:kern w:val="2"/>
          <w:sz w:val="21"/>
          <w:szCs w:val="24"/>
          <w:lang w:val="en-US" w:eastAsia="zh-CN" w:bidi="ar-SA"/>
        </w:rPr>
      </w:sdtEndPr>
      <w:sdtContent>
        <w:p w14:paraId="327913C0">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ascii="Times New Roman" w:hAnsi="Times New Roman"/>
              <w:b/>
              <w:bCs/>
              <w:sz w:val="28"/>
              <w:szCs w:val="28"/>
            </w:rPr>
          </w:pPr>
          <w:r>
            <w:rPr>
              <w:rFonts w:ascii="Times New Roman" w:hAnsi="Times New Roman" w:eastAsia="宋体"/>
              <w:b/>
              <w:bCs/>
              <w:sz w:val="28"/>
              <w:szCs w:val="28"/>
            </w:rPr>
            <w:t>目录</w:t>
          </w:r>
        </w:p>
        <w:p w14:paraId="47809FDB">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TOC \o "1-2" \h \u </w:instrText>
          </w:r>
          <w:r>
            <w:rPr>
              <w:rFonts w:ascii="Times New Roman" w:hAnsi="Times New Roman"/>
              <w:sz w:val="28"/>
              <w:szCs w:val="28"/>
            </w:rPr>
            <w:fldChar w:fldCharType="separate"/>
          </w:r>
          <w:r>
            <w:rPr>
              <w:rFonts w:ascii="Times New Roman" w:hAnsi="Times New Roman"/>
              <w:b/>
              <w:bCs/>
              <w:sz w:val="28"/>
              <w:szCs w:val="28"/>
            </w:rPr>
            <w:fldChar w:fldCharType="begin"/>
          </w:r>
          <w:r>
            <w:rPr>
              <w:rFonts w:ascii="Times New Roman" w:hAnsi="Times New Roman"/>
              <w:b/>
              <w:bCs/>
              <w:sz w:val="28"/>
              <w:szCs w:val="28"/>
            </w:rPr>
            <w:instrText xml:space="preserve"> HYPERLINK \l _Toc22631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一、总体概述</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_Toc22631 \h </w:instrText>
          </w:r>
          <w:r>
            <w:rPr>
              <w:rFonts w:ascii="Times New Roman" w:hAnsi="Times New Roman"/>
              <w:b/>
              <w:bCs/>
              <w:sz w:val="28"/>
              <w:szCs w:val="28"/>
            </w:rPr>
            <w:fldChar w:fldCharType="separate"/>
          </w:r>
          <w:r>
            <w:rPr>
              <w:rFonts w:ascii="Times New Roman" w:hAnsi="Times New Roman"/>
              <w:b/>
              <w:bCs/>
              <w:sz w:val="28"/>
              <w:szCs w:val="28"/>
            </w:rPr>
            <w:t>- 1 -</w:t>
          </w:r>
          <w:r>
            <w:rPr>
              <w:rFonts w:ascii="Times New Roman" w:hAnsi="Times New Roman"/>
              <w:b/>
              <w:bCs/>
              <w:sz w:val="28"/>
              <w:szCs w:val="28"/>
            </w:rPr>
            <w:fldChar w:fldCharType="end"/>
          </w:r>
          <w:r>
            <w:rPr>
              <w:rFonts w:ascii="Times New Roman" w:hAnsi="Times New Roman"/>
              <w:b/>
              <w:bCs/>
              <w:sz w:val="28"/>
              <w:szCs w:val="28"/>
            </w:rPr>
            <w:fldChar w:fldCharType="end"/>
          </w:r>
        </w:p>
        <w:p w14:paraId="43D9DD14">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_Toc12256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（一）项目单位基本情况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_Toc12256 \h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r>
            <w:rPr>
              <w:rFonts w:ascii="Times New Roman" w:hAnsi="Times New Roman"/>
              <w:sz w:val="28"/>
              <w:szCs w:val="28"/>
            </w:rPr>
            <w:fldChar w:fldCharType="end"/>
          </w:r>
        </w:p>
        <w:p w14:paraId="50E2C58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_Toc21962 </w:instrText>
          </w:r>
          <w:r>
            <w:rPr>
              <w:rFonts w:ascii="Times New Roman" w:hAnsi="Times New Roman"/>
              <w:sz w:val="28"/>
              <w:szCs w:val="28"/>
            </w:rPr>
            <w:fldChar w:fldCharType="separate"/>
          </w:r>
          <w:r>
            <w:rPr>
              <w:rFonts w:hint="eastAsia" w:ascii="Times New Roman" w:hAnsi="Times New Roman" w:eastAsia="宋体" w:cs="宋体"/>
              <w:bCs/>
              <w:sz w:val="28"/>
              <w:szCs w:val="28"/>
              <w:lang w:val="en-US" w:eastAsia="zh-CN"/>
            </w:rPr>
            <w:t>（二）</w:t>
          </w:r>
          <w:r>
            <w:rPr>
              <w:rFonts w:hint="eastAsia" w:ascii="Times New Roman" w:hAnsi="Times New Roman" w:eastAsia="宋体" w:cs="宋体"/>
              <w:bCs/>
              <w:sz w:val="28"/>
              <w:szCs w:val="28"/>
              <w:highlight w:val="none"/>
              <w:lang w:val="en-US" w:eastAsia="zh-CN"/>
            </w:rPr>
            <w:t>项目概况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_Toc21962 \h </w:instrText>
          </w:r>
          <w:r>
            <w:rPr>
              <w:rFonts w:ascii="Times New Roman" w:hAnsi="Times New Roman"/>
              <w:sz w:val="28"/>
              <w:szCs w:val="28"/>
            </w:rPr>
            <w:fldChar w:fldCharType="separate"/>
          </w:r>
          <w:r>
            <w:rPr>
              <w:rFonts w:ascii="Times New Roman" w:hAnsi="Times New Roman"/>
              <w:sz w:val="28"/>
              <w:szCs w:val="28"/>
            </w:rPr>
            <w:t>- 3 -</w:t>
          </w:r>
          <w:r>
            <w:rPr>
              <w:rFonts w:ascii="Times New Roman" w:hAnsi="Times New Roman"/>
              <w:sz w:val="28"/>
              <w:szCs w:val="28"/>
            </w:rPr>
            <w:fldChar w:fldCharType="end"/>
          </w:r>
          <w:r>
            <w:rPr>
              <w:rFonts w:ascii="Times New Roman" w:hAnsi="Times New Roman"/>
              <w:sz w:val="28"/>
              <w:szCs w:val="28"/>
            </w:rPr>
            <w:fldChar w:fldCharType="end"/>
          </w:r>
        </w:p>
        <w:p w14:paraId="1F5CFDB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_Toc699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（三）项目资金情况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_Toc699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Fonts w:ascii="Times New Roman" w:hAnsi="Times New Roman"/>
              <w:sz w:val="28"/>
              <w:szCs w:val="28"/>
            </w:rPr>
            <w:fldChar w:fldCharType="end"/>
          </w:r>
        </w:p>
        <w:p w14:paraId="3A476F7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_Toc29896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（四）绩效目标</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_Toc29896 \h </w:instrText>
          </w:r>
          <w:r>
            <w:rPr>
              <w:rFonts w:ascii="Times New Roman" w:hAnsi="Times New Roman"/>
              <w:sz w:val="28"/>
              <w:szCs w:val="28"/>
            </w:rPr>
            <w:fldChar w:fldCharType="separate"/>
          </w:r>
          <w:r>
            <w:rPr>
              <w:rFonts w:ascii="Times New Roman" w:hAnsi="Times New Roman"/>
              <w:sz w:val="28"/>
              <w:szCs w:val="28"/>
            </w:rPr>
            <w:t>- 4 -</w:t>
          </w:r>
          <w:r>
            <w:rPr>
              <w:rFonts w:ascii="Times New Roman" w:hAnsi="Times New Roman"/>
              <w:sz w:val="28"/>
              <w:szCs w:val="28"/>
            </w:rPr>
            <w:fldChar w:fldCharType="end"/>
          </w:r>
          <w:r>
            <w:rPr>
              <w:rFonts w:ascii="Times New Roman" w:hAnsi="Times New Roman"/>
              <w:sz w:val="28"/>
              <w:szCs w:val="28"/>
            </w:rPr>
            <w:fldChar w:fldCharType="end"/>
          </w:r>
        </w:p>
        <w:p w14:paraId="42603252">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_Toc30006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二、评价工作简述</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_Toc30006 \h </w:instrText>
          </w:r>
          <w:r>
            <w:rPr>
              <w:rFonts w:ascii="Times New Roman" w:hAnsi="Times New Roman"/>
              <w:b/>
              <w:bCs/>
              <w:sz w:val="28"/>
              <w:szCs w:val="28"/>
            </w:rPr>
            <w:fldChar w:fldCharType="separate"/>
          </w:r>
          <w:r>
            <w:rPr>
              <w:rFonts w:ascii="Times New Roman" w:hAnsi="Times New Roman"/>
              <w:b/>
              <w:bCs/>
              <w:sz w:val="28"/>
              <w:szCs w:val="28"/>
            </w:rPr>
            <w:t>- 7 -</w:t>
          </w:r>
          <w:r>
            <w:rPr>
              <w:rFonts w:ascii="Times New Roman" w:hAnsi="Times New Roman"/>
              <w:b/>
              <w:bCs/>
              <w:sz w:val="28"/>
              <w:szCs w:val="28"/>
            </w:rPr>
            <w:fldChar w:fldCharType="end"/>
          </w:r>
          <w:r>
            <w:rPr>
              <w:rFonts w:ascii="Times New Roman" w:hAnsi="Times New Roman"/>
              <w:b/>
              <w:bCs/>
              <w:sz w:val="28"/>
              <w:szCs w:val="28"/>
            </w:rPr>
            <w:fldChar w:fldCharType="end"/>
          </w:r>
        </w:p>
        <w:p w14:paraId="30AC8A83">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_Toc27805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（一）基本情况</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_Toc27805 \h </w:instrText>
          </w:r>
          <w:r>
            <w:rPr>
              <w:rFonts w:ascii="Times New Roman" w:hAnsi="Times New Roman"/>
              <w:sz w:val="28"/>
              <w:szCs w:val="28"/>
            </w:rPr>
            <w:fldChar w:fldCharType="separate"/>
          </w:r>
          <w:r>
            <w:rPr>
              <w:rFonts w:ascii="Times New Roman" w:hAnsi="Times New Roman"/>
              <w:sz w:val="28"/>
              <w:szCs w:val="28"/>
            </w:rPr>
            <w:t>- 7 -</w:t>
          </w:r>
          <w:r>
            <w:rPr>
              <w:rFonts w:ascii="Times New Roman" w:hAnsi="Times New Roman"/>
              <w:sz w:val="28"/>
              <w:szCs w:val="28"/>
            </w:rPr>
            <w:fldChar w:fldCharType="end"/>
          </w:r>
          <w:r>
            <w:rPr>
              <w:rFonts w:ascii="Times New Roman" w:hAnsi="Times New Roman"/>
              <w:sz w:val="28"/>
              <w:szCs w:val="28"/>
            </w:rPr>
            <w:fldChar w:fldCharType="end"/>
          </w:r>
        </w:p>
        <w:p w14:paraId="3BB8B8F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_Toc26369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（二）评价组织实施</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_Toc26369 \h </w:instrText>
          </w:r>
          <w:r>
            <w:rPr>
              <w:rFonts w:ascii="Times New Roman" w:hAnsi="Times New Roman"/>
              <w:sz w:val="28"/>
              <w:szCs w:val="28"/>
            </w:rPr>
            <w:fldChar w:fldCharType="separate"/>
          </w:r>
          <w:r>
            <w:rPr>
              <w:rFonts w:ascii="Times New Roman" w:hAnsi="Times New Roman"/>
              <w:sz w:val="28"/>
              <w:szCs w:val="28"/>
            </w:rPr>
            <w:t>- 12 -</w:t>
          </w:r>
          <w:r>
            <w:rPr>
              <w:rFonts w:ascii="Times New Roman" w:hAnsi="Times New Roman"/>
              <w:sz w:val="28"/>
              <w:szCs w:val="28"/>
            </w:rPr>
            <w:fldChar w:fldCharType="end"/>
          </w:r>
          <w:r>
            <w:rPr>
              <w:rFonts w:ascii="Times New Roman" w:hAnsi="Times New Roman"/>
              <w:sz w:val="28"/>
              <w:szCs w:val="28"/>
            </w:rPr>
            <w:fldChar w:fldCharType="end"/>
          </w:r>
        </w:p>
        <w:p w14:paraId="09976D8F">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_Toc13823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三、绩效评价分析</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_Toc13823 \h </w:instrText>
          </w:r>
          <w:r>
            <w:rPr>
              <w:rFonts w:ascii="Times New Roman" w:hAnsi="Times New Roman"/>
              <w:b/>
              <w:bCs/>
              <w:sz w:val="28"/>
              <w:szCs w:val="28"/>
            </w:rPr>
            <w:fldChar w:fldCharType="separate"/>
          </w:r>
          <w:r>
            <w:rPr>
              <w:rFonts w:ascii="Times New Roman" w:hAnsi="Times New Roman"/>
              <w:b/>
              <w:bCs/>
              <w:sz w:val="28"/>
              <w:szCs w:val="28"/>
            </w:rPr>
            <w:t>- 13 -</w:t>
          </w:r>
          <w:r>
            <w:rPr>
              <w:rFonts w:ascii="Times New Roman" w:hAnsi="Times New Roman"/>
              <w:b/>
              <w:bCs/>
              <w:sz w:val="28"/>
              <w:szCs w:val="28"/>
            </w:rPr>
            <w:fldChar w:fldCharType="end"/>
          </w:r>
          <w:r>
            <w:rPr>
              <w:rFonts w:ascii="Times New Roman" w:hAnsi="Times New Roman"/>
              <w:b/>
              <w:bCs/>
              <w:sz w:val="28"/>
              <w:szCs w:val="28"/>
            </w:rPr>
            <w:fldChar w:fldCharType="end"/>
          </w:r>
        </w:p>
        <w:p w14:paraId="7CF91BC0">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_Toc11958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（一）评价结果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_Toc11958 \h </w:instrText>
          </w:r>
          <w:r>
            <w:rPr>
              <w:rFonts w:ascii="Times New Roman" w:hAnsi="Times New Roman"/>
              <w:sz w:val="28"/>
              <w:szCs w:val="28"/>
            </w:rPr>
            <w:fldChar w:fldCharType="separate"/>
          </w:r>
          <w:r>
            <w:rPr>
              <w:rFonts w:ascii="Times New Roman" w:hAnsi="Times New Roman"/>
              <w:sz w:val="28"/>
              <w:szCs w:val="28"/>
            </w:rPr>
            <w:t>- 13 -</w:t>
          </w:r>
          <w:r>
            <w:rPr>
              <w:rFonts w:ascii="Times New Roman" w:hAnsi="Times New Roman"/>
              <w:sz w:val="28"/>
              <w:szCs w:val="28"/>
            </w:rPr>
            <w:fldChar w:fldCharType="end"/>
          </w:r>
          <w:r>
            <w:rPr>
              <w:rFonts w:ascii="Times New Roman" w:hAnsi="Times New Roman"/>
              <w:sz w:val="28"/>
              <w:szCs w:val="28"/>
            </w:rPr>
            <w:fldChar w:fldCharType="end"/>
          </w:r>
        </w:p>
        <w:p w14:paraId="072A0CAC">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_Toc29422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（二）总体绩效目标完成情况分析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_Toc29422 \h </w:instrText>
          </w:r>
          <w:r>
            <w:rPr>
              <w:rFonts w:ascii="Times New Roman" w:hAnsi="Times New Roman"/>
              <w:sz w:val="28"/>
              <w:szCs w:val="28"/>
            </w:rPr>
            <w:fldChar w:fldCharType="separate"/>
          </w:r>
          <w:r>
            <w:rPr>
              <w:rFonts w:ascii="Times New Roman" w:hAnsi="Times New Roman"/>
              <w:sz w:val="28"/>
              <w:szCs w:val="28"/>
            </w:rPr>
            <w:t>- 14 -</w:t>
          </w:r>
          <w:r>
            <w:rPr>
              <w:rFonts w:ascii="Times New Roman" w:hAnsi="Times New Roman"/>
              <w:sz w:val="28"/>
              <w:szCs w:val="28"/>
            </w:rPr>
            <w:fldChar w:fldCharType="end"/>
          </w:r>
          <w:r>
            <w:rPr>
              <w:rFonts w:ascii="Times New Roman" w:hAnsi="Times New Roman"/>
              <w:sz w:val="28"/>
              <w:szCs w:val="28"/>
            </w:rPr>
            <w:fldChar w:fldCharType="end"/>
          </w:r>
        </w:p>
        <w:p w14:paraId="016DDE5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_Toc15583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（三）各项指标完成情况分析</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_Toc15583 \h </w:instrText>
          </w:r>
          <w:r>
            <w:rPr>
              <w:rFonts w:ascii="Times New Roman" w:hAnsi="Times New Roman"/>
              <w:sz w:val="28"/>
              <w:szCs w:val="28"/>
            </w:rPr>
            <w:fldChar w:fldCharType="separate"/>
          </w:r>
          <w:r>
            <w:rPr>
              <w:rFonts w:ascii="Times New Roman" w:hAnsi="Times New Roman"/>
              <w:sz w:val="28"/>
              <w:szCs w:val="28"/>
            </w:rPr>
            <w:t>- 14 -</w:t>
          </w:r>
          <w:r>
            <w:rPr>
              <w:rFonts w:ascii="Times New Roman" w:hAnsi="Times New Roman"/>
              <w:sz w:val="28"/>
              <w:szCs w:val="28"/>
            </w:rPr>
            <w:fldChar w:fldCharType="end"/>
          </w:r>
          <w:r>
            <w:rPr>
              <w:rFonts w:ascii="Times New Roman" w:hAnsi="Times New Roman"/>
              <w:sz w:val="28"/>
              <w:szCs w:val="28"/>
            </w:rPr>
            <w:fldChar w:fldCharType="end"/>
          </w:r>
        </w:p>
        <w:p w14:paraId="410E6AFF">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_Toc30255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四、评价结论</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_Toc30255 \h </w:instrText>
          </w:r>
          <w:r>
            <w:rPr>
              <w:rFonts w:ascii="Times New Roman" w:hAnsi="Times New Roman"/>
              <w:b/>
              <w:bCs/>
              <w:sz w:val="28"/>
              <w:szCs w:val="28"/>
            </w:rPr>
            <w:fldChar w:fldCharType="separate"/>
          </w:r>
          <w:r>
            <w:rPr>
              <w:rFonts w:ascii="Times New Roman" w:hAnsi="Times New Roman"/>
              <w:b/>
              <w:bCs/>
              <w:sz w:val="28"/>
              <w:szCs w:val="28"/>
            </w:rPr>
            <w:t>- 27 -</w:t>
          </w:r>
          <w:r>
            <w:rPr>
              <w:rFonts w:ascii="Times New Roman" w:hAnsi="Times New Roman"/>
              <w:b/>
              <w:bCs/>
              <w:sz w:val="28"/>
              <w:szCs w:val="28"/>
            </w:rPr>
            <w:fldChar w:fldCharType="end"/>
          </w:r>
          <w:r>
            <w:rPr>
              <w:rFonts w:ascii="Times New Roman" w:hAnsi="Times New Roman"/>
              <w:b/>
              <w:bCs/>
              <w:sz w:val="28"/>
              <w:szCs w:val="28"/>
            </w:rPr>
            <w:fldChar w:fldCharType="end"/>
          </w:r>
        </w:p>
        <w:p w14:paraId="7569C4C7">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_Toc13319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五、主要经验及做法</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_Toc13319 \h </w:instrText>
          </w:r>
          <w:r>
            <w:rPr>
              <w:rFonts w:ascii="Times New Roman" w:hAnsi="Times New Roman"/>
              <w:b/>
              <w:bCs/>
              <w:sz w:val="28"/>
              <w:szCs w:val="28"/>
            </w:rPr>
            <w:fldChar w:fldCharType="separate"/>
          </w:r>
          <w:r>
            <w:rPr>
              <w:rFonts w:ascii="Times New Roman" w:hAnsi="Times New Roman"/>
              <w:b/>
              <w:bCs/>
              <w:sz w:val="28"/>
              <w:szCs w:val="28"/>
            </w:rPr>
            <w:t>- 27 -</w:t>
          </w:r>
          <w:r>
            <w:rPr>
              <w:rFonts w:ascii="Times New Roman" w:hAnsi="Times New Roman"/>
              <w:b/>
              <w:bCs/>
              <w:sz w:val="28"/>
              <w:szCs w:val="28"/>
            </w:rPr>
            <w:fldChar w:fldCharType="end"/>
          </w:r>
          <w:r>
            <w:rPr>
              <w:rFonts w:ascii="Times New Roman" w:hAnsi="Times New Roman"/>
              <w:b/>
              <w:bCs/>
              <w:sz w:val="28"/>
              <w:szCs w:val="28"/>
            </w:rPr>
            <w:fldChar w:fldCharType="end"/>
          </w:r>
        </w:p>
        <w:p w14:paraId="1095B797">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_Toc28563 </w:instrText>
          </w:r>
          <w:r>
            <w:rPr>
              <w:rFonts w:ascii="Times New Roman" w:hAnsi="Times New Roman"/>
              <w:sz w:val="28"/>
              <w:szCs w:val="28"/>
            </w:rPr>
            <w:fldChar w:fldCharType="separate"/>
          </w:r>
          <w:r>
            <w:rPr>
              <w:rFonts w:hint="eastAsia" w:ascii="Times New Roman" w:hAnsi="Times New Roman" w:eastAsia="宋体" w:cs="宋体"/>
              <w:bCs/>
              <w:kern w:val="0"/>
              <w:sz w:val="28"/>
              <w:szCs w:val="28"/>
              <w:highlight w:val="none"/>
              <w:lang w:val="en-US" w:eastAsia="zh-CN" w:bidi="ar"/>
            </w:rPr>
            <w:t>（一）创新工作形式，推动代表工作实起来活起来</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_Toc28563 \h </w:instrText>
          </w:r>
          <w:r>
            <w:rPr>
              <w:rFonts w:ascii="Times New Roman" w:hAnsi="Times New Roman"/>
              <w:sz w:val="28"/>
              <w:szCs w:val="28"/>
            </w:rPr>
            <w:fldChar w:fldCharType="separate"/>
          </w:r>
          <w:r>
            <w:rPr>
              <w:b/>
            </w:rPr>
            <w:t>错误！未定义书签。</w:t>
          </w:r>
          <w:r>
            <w:rPr>
              <w:rFonts w:ascii="Times New Roman" w:hAnsi="Times New Roman"/>
              <w:sz w:val="28"/>
              <w:szCs w:val="28"/>
            </w:rPr>
            <w:fldChar w:fldCharType="end"/>
          </w:r>
          <w:r>
            <w:rPr>
              <w:rFonts w:ascii="Times New Roman" w:hAnsi="Times New Roman"/>
              <w:sz w:val="28"/>
              <w:szCs w:val="28"/>
            </w:rPr>
            <w:fldChar w:fldCharType="end"/>
          </w:r>
        </w:p>
        <w:p w14:paraId="00476A6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_Toc1639 </w:instrText>
          </w:r>
          <w:r>
            <w:rPr>
              <w:rFonts w:ascii="Times New Roman" w:hAnsi="Times New Roman"/>
              <w:sz w:val="28"/>
              <w:szCs w:val="28"/>
            </w:rPr>
            <w:fldChar w:fldCharType="separate"/>
          </w:r>
          <w:r>
            <w:rPr>
              <w:rFonts w:hint="eastAsia" w:ascii="Times New Roman" w:hAnsi="Times New Roman" w:eastAsia="宋体" w:cs="宋体"/>
              <w:bCs/>
              <w:kern w:val="0"/>
              <w:sz w:val="28"/>
              <w:szCs w:val="28"/>
              <w:highlight w:val="none"/>
              <w:lang w:val="en-US" w:eastAsia="zh-CN" w:bidi="ar"/>
            </w:rPr>
            <w:t>（二）全过程全链条全领域规范地方立法工作</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_Toc1639 \h </w:instrText>
          </w:r>
          <w:r>
            <w:rPr>
              <w:rFonts w:ascii="Times New Roman" w:hAnsi="Times New Roman"/>
              <w:sz w:val="28"/>
              <w:szCs w:val="28"/>
            </w:rPr>
            <w:fldChar w:fldCharType="separate"/>
          </w:r>
          <w:r>
            <w:rPr>
              <w:rFonts w:ascii="Times New Roman" w:hAnsi="Times New Roman"/>
              <w:sz w:val="28"/>
              <w:szCs w:val="28"/>
            </w:rPr>
            <w:t>- 31 -</w:t>
          </w:r>
          <w:r>
            <w:rPr>
              <w:rFonts w:ascii="Times New Roman" w:hAnsi="Times New Roman"/>
              <w:sz w:val="28"/>
              <w:szCs w:val="28"/>
            </w:rPr>
            <w:fldChar w:fldCharType="end"/>
          </w:r>
          <w:r>
            <w:rPr>
              <w:rFonts w:ascii="Times New Roman" w:hAnsi="Times New Roman"/>
              <w:sz w:val="28"/>
              <w:szCs w:val="28"/>
            </w:rPr>
            <w:fldChar w:fldCharType="end"/>
          </w:r>
        </w:p>
        <w:p w14:paraId="77DAF33B">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_Toc11120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六、存在的问题和建议</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_Toc11120 \h </w:instrText>
          </w:r>
          <w:r>
            <w:rPr>
              <w:rFonts w:ascii="Times New Roman" w:hAnsi="Times New Roman"/>
              <w:b/>
              <w:bCs/>
              <w:sz w:val="28"/>
              <w:szCs w:val="28"/>
            </w:rPr>
            <w:fldChar w:fldCharType="separate"/>
          </w:r>
          <w:r>
            <w:rPr>
              <w:rFonts w:ascii="Times New Roman" w:hAnsi="Times New Roman"/>
              <w:b/>
              <w:bCs/>
              <w:sz w:val="28"/>
              <w:szCs w:val="28"/>
            </w:rPr>
            <w:t>- 35 -</w:t>
          </w:r>
          <w:r>
            <w:rPr>
              <w:rFonts w:ascii="Times New Roman" w:hAnsi="Times New Roman"/>
              <w:b/>
              <w:bCs/>
              <w:sz w:val="28"/>
              <w:szCs w:val="28"/>
            </w:rPr>
            <w:fldChar w:fldCharType="end"/>
          </w:r>
          <w:r>
            <w:rPr>
              <w:rFonts w:ascii="Times New Roman" w:hAnsi="Times New Roman"/>
              <w:b/>
              <w:bCs/>
              <w:sz w:val="28"/>
              <w:szCs w:val="28"/>
            </w:rPr>
            <w:fldChar w:fldCharType="end"/>
          </w:r>
        </w:p>
        <w:p w14:paraId="36533DDA">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_Toc28147 </w:instrText>
          </w:r>
          <w:r>
            <w:rPr>
              <w:rFonts w:ascii="Times New Roman" w:hAnsi="Times New Roman"/>
              <w:sz w:val="28"/>
              <w:szCs w:val="28"/>
            </w:rPr>
            <w:fldChar w:fldCharType="separate"/>
          </w:r>
          <w:r>
            <w:rPr>
              <w:rFonts w:hint="eastAsia" w:ascii="Times New Roman" w:hAnsi="Times New Roman" w:eastAsia="宋体" w:cs="宋体"/>
              <w:bCs/>
              <w:kern w:val="0"/>
              <w:sz w:val="28"/>
              <w:szCs w:val="28"/>
              <w:highlight w:val="none"/>
              <w:lang w:val="en-US" w:eastAsia="zh-CN" w:bidi="ar"/>
            </w:rPr>
            <w:t>（一）存在的问题</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_Toc28147 \h </w:instrText>
          </w:r>
          <w:r>
            <w:rPr>
              <w:rFonts w:ascii="Times New Roman" w:hAnsi="Times New Roman"/>
              <w:sz w:val="28"/>
              <w:szCs w:val="28"/>
            </w:rPr>
            <w:fldChar w:fldCharType="separate"/>
          </w:r>
          <w:r>
            <w:rPr>
              <w:rFonts w:ascii="Times New Roman" w:hAnsi="Times New Roman"/>
              <w:sz w:val="28"/>
              <w:szCs w:val="28"/>
            </w:rPr>
            <w:t>- 35 -</w:t>
          </w:r>
          <w:r>
            <w:rPr>
              <w:rFonts w:ascii="Times New Roman" w:hAnsi="Times New Roman"/>
              <w:sz w:val="28"/>
              <w:szCs w:val="28"/>
            </w:rPr>
            <w:fldChar w:fldCharType="end"/>
          </w:r>
          <w:r>
            <w:rPr>
              <w:rFonts w:ascii="Times New Roman" w:hAnsi="Times New Roman"/>
              <w:sz w:val="28"/>
              <w:szCs w:val="28"/>
            </w:rPr>
            <w:fldChar w:fldCharType="end"/>
          </w:r>
        </w:p>
        <w:p w14:paraId="12FA094D">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_Toc1791 </w:instrText>
          </w:r>
          <w:r>
            <w:rPr>
              <w:rFonts w:ascii="Times New Roman" w:hAnsi="Times New Roman"/>
              <w:sz w:val="28"/>
              <w:szCs w:val="28"/>
            </w:rPr>
            <w:fldChar w:fldCharType="separate"/>
          </w:r>
          <w:r>
            <w:rPr>
              <w:rFonts w:hint="eastAsia" w:ascii="Times New Roman" w:hAnsi="Times New Roman" w:eastAsia="宋体" w:cs="宋体"/>
              <w:bCs/>
              <w:kern w:val="0"/>
              <w:sz w:val="28"/>
              <w:szCs w:val="28"/>
              <w:highlight w:val="none"/>
              <w:lang w:val="en-US" w:eastAsia="zh-CN" w:bidi="ar"/>
            </w:rPr>
            <w:t>（二）相关建议</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_Toc1791 \h </w:instrText>
          </w:r>
          <w:r>
            <w:rPr>
              <w:rFonts w:ascii="Times New Roman" w:hAnsi="Times New Roman"/>
              <w:sz w:val="28"/>
              <w:szCs w:val="28"/>
            </w:rPr>
            <w:fldChar w:fldCharType="separate"/>
          </w:r>
          <w:r>
            <w:rPr>
              <w:rFonts w:ascii="Times New Roman" w:hAnsi="Times New Roman"/>
              <w:sz w:val="28"/>
              <w:szCs w:val="28"/>
            </w:rPr>
            <w:t>- 36 -</w:t>
          </w:r>
          <w:r>
            <w:rPr>
              <w:rFonts w:ascii="Times New Roman" w:hAnsi="Times New Roman"/>
              <w:sz w:val="28"/>
              <w:szCs w:val="28"/>
            </w:rPr>
            <w:fldChar w:fldCharType="end"/>
          </w:r>
          <w:r>
            <w:rPr>
              <w:rFonts w:ascii="Times New Roman" w:hAnsi="Times New Roman"/>
              <w:sz w:val="28"/>
              <w:szCs w:val="28"/>
            </w:rPr>
            <w:fldChar w:fldCharType="end"/>
          </w:r>
        </w:p>
        <w:p w14:paraId="5DD42357">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_Toc31184 </w:instrText>
          </w:r>
          <w:r>
            <w:rPr>
              <w:rFonts w:ascii="Times New Roman" w:hAnsi="Times New Roman"/>
              <w:b/>
              <w:bCs/>
              <w:sz w:val="28"/>
              <w:szCs w:val="28"/>
            </w:rPr>
            <w:fldChar w:fldCharType="separate"/>
          </w:r>
          <w:r>
            <w:rPr>
              <w:rFonts w:hint="eastAsia" w:ascii="Times New Roman" w:hAnsi="Times New Roman" w:eastAsia="宋体" w:cs="宋体"/>
              <w:b/>
              <w:bCs/>
              <w:kern w:val="0"/>
              <w:sz w:val="28"/>
              <w:szCs w:val="28"/>
              <w:highlight w:val="none"/>
              <w:lang w:val="en-US" w:eastAsia="zh-CN" w:bidi="ar"/>
            </w:rPr>
            <w:t>七、其他需要说明的问题</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_Toc31184 \h </w:instrText>
          </w:r>
          <w:r>
            <w:rPr>
              <w:rFonts w:ascii="Times New Roman" w:hAnsi="Times New Roman"/>
              <w:b/>
              <w:bCs/>
              <w:sz w:val="28"/>
              <w:szCs w:val="28"/>
            </w:rPr>
            <w:fldChar w:fldCharType="separate"/>
          </w:r>
          <w:r>
            <w:rPr>
              <w:rFonts w:ascii="Times New Roman" w:hAnsi="Times New Roman"/>
              <w:b/>
              <w:bCs/>
              <w:sz w:val="28"/>
              <w:szCs w:val="28"/>
            </w:rPr>
            <w:t>- 36 -</w:t>
          </w:r>
          <w:r>
            <w:rPr>
              <w:rFonts w:ascii="Times New Roman" w:hAnsi="Times New Roman"/>
              <w:b/>
              <w:bCs/>
              <w:sz w:val="28"/>
              <w:szCs w:val="28"/>
            </w:rPr>
            <w:fldChar w:fldCharType="end"/>
          </w:r>
          <w:r>
            <w:rPr>
              <w:rFonts w:ascii="Times New Roman" w:hAnsi="Times New Roman"/>
              <w:b/>
              <w:bCs/>
              <w:sz w:val="28"/>
              <w:szCs w:val="28"/>
            </w:rPr>
            <w:fldChar w:fldCharType="end"/>
          </w:r>
        </w:p>
        <w:p w14:paraId="21BE0575">
          <w:pPr>
            <w:pStyle w:val="9"/>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b/>
              <w:bCs/>
              <w:sz w:val="28"/>
              <w:szCs w:val="28"/>
            </w:rPr>
          </w:pPr>
          <w:r>
            <w:rPr>
              <w:rFonts w:ascii="Times New Roman" w:hAnsi="Times New Roman"/>
              <w:b/>
              <w:bCs/>
              <w:sz w:val="28"/>
              <w:szCs w:val="28"/>
            </w:rPr>
            <w:fldChar w:fldCharType="begin"/>
          </w:r>
          <w:r>
            <w:rPr>
              <w:rFonts w:ascii="Times New Roman" w:hAnsi="Times New Roman"/>
              <w:b/>
              <w:bCs/>
              <w:sz w:val="28"/>
              <w:szCs w:val="28"/>
            </w:rPr>
            <w:instrText xml:space="preserve"> HYPERLINK \l _Toc2163 </w:instrText>
          </w:r>
          <w:r>
            <w:rPr>
              <w:rFonts w:ascii="Times New Roman" w:hAnsi="Times New Roman"/>
              <w:b/>
              <w:bCs/>
              <w:sz w:val="28"/>
              <w:szCs w:val="28"/>
            </w:rPr>
            <w:fldChar w:fldCharType="separate"/>
          </w:r>
          <w:r>
            <w:rPr>
              <w:rFonts w:hint="eastAsia" w:ascii="Times New Roman" w:hAnsi="Times New Roman" w:eastAsia="宋体" w:cs="宋体"/>
              <w:b/>
              <w:bCs/>
              <w:sz w:val="28"/>
              <w:szCs w:val="28"/>
              <w:highlight w:val="none"/>
              <w:lang w:val="en-US" w:eastAsia="zh-CN"/>
            </w:rPr>
            <w:t>八、相关附件</w:t>
          </w:r>
          <w:r>
            <w:rPr>
              <w:rFonts w:ascii="Times New Roman" w:hAnsi="Times New Roman"/>
              <w:b/>
              <w:bCs/>
              <w:sz w:val="28"/>
              <w:szCs w:val="28"/>
            </w:rPr>
            <w:tab/>
          </w:r>
          <w:r>
            <w:rPr>
              <w:rFonts w:ascii="Times New Roman" w:hAnsi="Times New Roman"/>
              <w:b/>
              <w:bCs/>
              <w:sz w:val="28"/>
              <w:szCs w:val="28"/>
            </w:rPr>
            <w:fldChar w:fldCharType="begin"/>
          </w:r>
          <w:r>
            <w:rPr>
              <w:rFonts w:ascii="Times New Roman" w:hAnsi="Times New Roman"/>
              <w:b/>
              <w:bCs/>
              <w:sz w:val="28"/>
              <w:szCs w:val="28"/>
            </w:rPr>
            <w:instrText xml:space="preserve"> PAGEREF _Toc2163 \h </w:instrText>
          </w:r>
          <w:r>
            <w:rPr>
              <w:rFonts w:ascii="Times New Roman" w:hAnsi="Times New Roman"/>
              <w:b/>
              <w:bCs/>
              <w:sz w:val="28"/>
              <w:szCs w:val="28"/>
            </w:rPr>
            <w:fldChar w:fldCharType="separate"/>
          </w:r>
          <w:r>
            <w:rPr>
              <w:rFonts w:ascii="Times New Roman" w:hAnsi="Times New Roman"/>
              <w:b/>
              <w:bCs/>
              <w:sz w:val="28"/>
              <w:szCs w:val="28"/>
            </w:rPr>
            <w:t>- 36 -</w:t>
          </w:r>
          <w:r>
            <w:rPr>
              <w:rFonts w:ascii="Times New Roman" w:hAnsi="Times New Roman"/>
              <w:b/>
              <w:bCs/>
              <w:sz w:val="28"/>
              <w:szCs w:val="28"/>
            </w:rPr>
            <w:fldChar w:fldCharType="end"/>
          </w:r>
          <w:r>
            <w:rPr>
              <w:rFonts w:ascii="Times New Roman" w:hAnsi="Times New Roman"/>
              <w:b/>
              <w:bCs/>
              <w:sz w:val="28"/>
              <w:szCs w:val="28"/>
            </w:rPr>
            <w:fldChar w:fldCharType="end"/>
          </w:r>
        </w:p>
        <w:p w14:paraId="527EB3F9">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_Toc1145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（一）绩效评价指标体系评分表</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_Toc1145 \h </w:instrText>
          </w:r>
          <w:r>
            <w:rPr>
              <w:rFonts w:ascii="Times New Roman" w:hAnsi="Times New Roman"/>
              <w:sz w:val="28"/>
              <w:szCs w:val="28"/>
            </w:rPr>
            <w:fldChar w:fldCharType="separate"/>
          </w:r>
          <w:r>
            <w:rPr>
              <w:rFonts w:ascii="Times New Roman" w:hAnsi="Times New Roman"/>
              <w:sz w:val="28"/>
              <w:szCs w:val="28"/>
            </w:rPr>
            <w:t>- 38 -</w:t>
          </w:r>
          <w:r>
            <w:rPr>
              <w:rFonts w:ascii="Times New Roman" w:hAnsi="Times New Roman"/>
              <w:sz w:val="28"/>
              <w:szCs w:val="28"/>
            </w:rPr>
            <w:fldChar w:fldCharType="end"/>
          </w:r>
          <w:r>
            <w:rPr>
              <w:rFonts w:ascii="Times New Roman" w:hAnsi="Times New Roman"/>
              <w:sz w:val="28"/>
              <w:szCs w:val="28"/>
            </w:rPr>
            <w:fldChar w:fldCharType="end"/>
          </w:r>
        </w:p>
        <w:p w14:paraId="506D2D52">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_Toc16649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（二）满意度问卷调查报告</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_Toc16649 \h </w:instrText>
          </w:r>
          <w:r>
            <w:rPr>
              <w:rFonts w:ascii="Times New Roman" w:hAnsi="Times New Roman"/>
              <w:sz w:val="28"/>
              <w:szCs w:val="28"/>
            </w:rPr>
            <w:fldChar w:fldCharType="separate"/>
          </w:r>
          <w:r>
            <w:rPr>
              <w:rFonts w:ascii="Times New Roman" w:hAnsi="Times New Roman"/>
              <w:sz w:val="28"/>
              <w:szCs w:val="28"/>
            </w:rPr>
            <w:t>- 52 -</w:t>
          </w:r>
          <w:r>
            <w:rPr>
              <w:rFonts w:ascii="Times New Roman" w:hAnsi="Times New Roman"/>
              <w:sz w:val="28"/>
              <w:szCs w:val="28"/>
            </w:rPr>
            <w:fldChar w:fldCharType="end"/>
          </w:r>
          <w:r>
            <w:rPr>
              <w:rFonts w:ascii="Times New Roman" w:hAnsi="Times New Roman"/>
              <w:sz w:val="28"/>
              <w:szCs w:val="28"/>
            </w:rPr>
            <w:fldChar w:fldCharType="end"/>
          </w:r>
        </w:p>
        <w:p w14:paraId="7AEF8704">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\l _Toc16419 </w:instrText>
          </w:r>
          <w:r>
            <w:rPr>
              <w:rFonts w:ascii="Times New Roman" w:hAnsi="Times New Roman"/>
              <w:sz w:val="28"/>
              <w:szCs w:val="28"/>
            </w:rPr>
            <w:fldChar w:fldCharType="separate"/>
          </w:r>
          <w:r>
            <w:rPr>
              <w:rFonts w:hint="eastAsia" w:ascii="Times New Roman" w:hAnsi="Times New Roman" w:eastAsia="宋体" w:cs="宋体"/>
              <w:bCs/>
              <w:sz w:val="28"/>
              <w:szCs w:val="28"/>
              <w:highlight w:val="none"/>
              <w:lang w:val="en-US" w:eastAsia="zh-CN"/>
            </w:rPr>
            <w:t>（三）访谈报告</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 PAGEREF _Toc16419 \h </w:instrText>
          </w:r>
          <w:r>
            <w:rPr>
              <w:rFonts w:ascii="Times New Roman" w:hAnsi="Times New Roman"/>
              <w:sz w:val="28"/>
              <w:szCs w:val="28"/>
            </w:rPr>
            <w:fldChar w:fldCharType="separate"/>
          </w:r>
          <w:r>
            <w:rPr>
              <w:rFonts w:ascii="Times New Roman" w:hAnsi="Times New Roman"/>
              <w:sz w:val="28"/>
              <w:szCs w:val="28"/>
            </w:rPr>
            <w:t>- 67 -</w:t>
          </w:r>
          <w:r>
            <w:rPr>
              <w:rFonts w:ascii="Times New Roman" w:hAnsi="Times New Roman"/>
              <w:sz w:val="28"/>
              <w:szCs w:val="28"/>
            </w:rPr>
            <w:fldChar w:fldCharType="end"/>
          </w:r>
          <w:r>
            <w:rPr>
              <w:rFonts w:ascii="Times New Roman" w:hAnsi="Times New Roman"/>
              <w:sz w:val="28"/>
              <w:szCs w:val="28"/>
            </w:rPr>
            <w:fldChar w:fldCharType="end"/>
          </w:r>
        </w:p>
        <w:p w14:paraId="7FF81277">
          <w:pPr>
            <w:keepNext w:val="0"/>
            <w:keepLines w:val="0"/>
            <w:pageBreakBefore w:val="0"/>
            <w:widowControl w:val="0"/>
            <w:kinsoku/>
            <w:wordWrap/>
            <w:overflowPunct/>
            <w:topLinePunct w:val="0"/>
            <w:autoSpaceDE/>
            <w:autoSpaceDN/>
            <w:bidi w:val="0"/>
            <w:adjustRightInd/>
            <w:snapToGrid/>
            <w:spacing w:line="500" w:lineRule="exact"/>
            <w:textAlignment w:val="auto"/>
            <w:rPr>
              <w:rFonts w:asciiTheme="minorHAnsi" w:hAnsiTheme="minorHAnsi" w:eastAsiaTheme="minorEastAsia" w:cstheme="minorBidi"/>
              <w:b/>
              <w:kern w:val="2"/>
              <w:sz w:val="21"/>
              <w:szCs w:val="24"/>
              <w:lang w:val="en-US" w:eastAsia="zh-CN" w:bidi="ar-SA"/>
            </w:rPr>
          </w:pPr>
          <w:r>
            <w:rPr>
              <w:rFonts w:ascii="Times New Roman" w:hAnsi="Times New Roman"/>
              <w:sz w:val="28"/>
              <w:szCs w:val="28"/>
            </w:rPr>
            <w:fldChar w:fldCharType="end"/>
          </w:r>
        </w:p>
      </w:sdtContent>
    </w:sdt>
    <w:p w14:paraId="1D820D98">
      <w:pPr>
        <w:rPr>
          <w:rFonts w:asciiTheme="minorHAnsi" w:hAnsiTheme="minorHAnsi" w:eastAsiaTheme="minorEastAsia" w:cstheme="minorBidi"/>
          <w:b/>
          <w:kern w:val="2"/>
          <w:sz w:val="21"/>
          <w:szCs w:val="24"/>
          <w:lang w:val="en-US" w:eastAsia="zh-CN" w:bidi="ar-SA"/>
        </w:rPr>
      </w:pPr>
    </w:p>
    <w:p w14:paraId="57899494">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6288CE58">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p>
    <w:p w14:paraId="4C3A4BCF">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r>
        <w:rPr>
          <w:rFonts w:hint="eastAsia" w:ascii="Times New Roman" w:hAnsi="Times New Roman" w:eastAsia="方正小标宋简体" w:cs="方正小标宋简体"/>
          <w:b w:val="0"/>
          <w:bCs w:val="0"/>
          <w:sz w:val="36"/>
          <w:szCs w:val="36"/>
          <w:lang w:val="en-US" w:eastAsia="zh-CN"/>
        </w:rPr>
        <w:t>甘肃省人民代表大会常务委员会2023年度</w:t>
      </w:r>
    </w:p>
    <w:p w14:paraId="17E3E085">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r>
        <w:rPr>
          <w:rFonts w:hint="eastAsia" w:ascii="Times New Roman" w:hAnsi="Times New Roman" w:eastAsia="方正小标宋简体" w:cs="方正小标宋简体"/>
          <w:b w:val="0"/>
          <w:bCs w:val="0"/>
          <w:sz w:val="36"/>
          <w:szCs w:val="36"/>
          <w:lang w:val="en-US" w:eastAsia="zh-CN"/>
        </w:rPr>
        <w:t>省人大常委会会议费项目绩效评价报告</w:t>
      </w:r>
    </w:p>
    <w:p w14:paraId="00A2DD0D">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Times New Roman" w:hAnsi="Times New Roman" w:eastAsia="方正小标宋简体" w:cs="方正小标宋简体"/>
          <w:b w:val="0"/>
          <w:bCs w:val="0"/>
          <w:sz w:val="36"/>
          <w:szCs w:val="36"/>
          <w:lang w:val="en-US" w:eastAsia="zh-CN"/>
        </w:rPr>
      </w:pPr>
    </w:p>
    <w:p w14:paraId="7A92522F">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0" w:name="_Toc22671"/>
      <w:bookmarkStart w:id="1" w:name="_Toc23024"/>
      <w:bookmarkStart w:id="2" w:name="_Toc22631"/>
      <w:bookmarkStart w:id="3" w:name="_Toc3204"/>
      <w:r>
        <w:rPr>
          <w:rFonts w:hint="eastAsia" w:ascii="Times New Roman" w:hAnsi="Times New Roman" w:eastAsia="宋体" w:cs="宋体"/>
          <w:b/>
          <w:bCs/>
          <w:sz w:val="28"/>
          <w:szCs w:val="28"/>
          <w:highlight w:val="none"/>
          <w:lang w:val="en-US" w:eastAsia="zh-CN"/>
        </w:rPr>
        <w:t>一、总体概述</w:t>
      </w:r>
      <w:bookmarkEnd w:id="0"/>
      <w:bookmarkEnd w:id="1"/>
      <w:bookmarkEnd w:id="2"/>
      <w:bookmarkEnd w:id="3"/>
    </w:p>
    <w:p w14:paraId="4421DD5C">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4" w:name="_Toc23571"/>
      <w:bookmarkStart w:id="5" w:name="_Toc13615"/>
      <w:bookmarkStart w:id="6" w:name="_Toc11219"/>
      <w:bookmarkStart w:id="7" w:name="_Toc12256"/>
      <w:r>
        <w:rPr>
          <w:rFonts w:hint="eastAsia" w:ascii="Times New Roman" w:hAnsi="Times New Roman" w:eastAsia="宋体" w:cs="宋体"/>
          <w:bCs/>
          <w:sz w:val="28"/>
          <w:szCs w:val="28"/>
          <w:highlight w:val="none"/>
          <w:lang w:val="en-US" w:eastAsia="zh-CN"/>
        </w:rPr>
        <w:t>（一）项目单位基本情况</w:t>
      </w:r>
      <w:bookmarkEnd w:id="4"/>
      <w:bookmarkEnd w:id="5"/>
      <w:bookmarkEnd w:id="6"/>
      <w:bookmarkEnd w:id="7"/>
    </w:p>
    <w:p w14:paraId="53EB7513">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人民代表大会是甘肃省的国家权力机关。省人民代表大会常务委员会是省人民代表大会的常设机关，对省人民代表大会负责并报告工作。甘肃省人民代表大会每届任期五年，每年至少举行一次会议。省人民代表大会常务委员会每届任期同省人民代表大会每届任期相同。省人民代表大会经过五分之一以上代表提议，可以临时召集本级人民代表大会会议。人民代表大会会议由本级人民代表大会常务委员会召集。人民代表大会进行选举和通过决议，以全体代表的过半数通过。省人民代表大会代表由本省市、州人民代表大会选举。人民代表大会代表名额和代表产生办法由选举法规定。省人民代表大会每次会议举行预备会议，选举本次会议的主席团和秘书长，通过本次会议的议程和其他准备事项的决定。预备会议由省人民代表大会常务委员会主持。每届人民代表大会第一次会议的预备会议，由上届省人民代表大会常务委员会主持。</w:t>
      </w:r>
    </w:p>
    <w:p w14:paraId="058888F8">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省人民代表大会举行会议的时候，由主席团主持会议。省人民代表大会根据本行政区域的具体情况和实际需要，在不同宪法、法律、行政法规相抵触的前提下，可以制定和颁布地方性法规，报全国人民代表大会常务委员会和国务院备案。省人民代表大会常务委员会由本级人民代表大会在代表中选举主任、副主任若干人、秘书长、委员若干人组成。常务委员会的组成人员不得担任国家行政机关、监察机关、审判机关和检察机关的职务。省人民代表大会常务委员会会议由主任召集，每两个月至少举行一次。常务委员会的决议，由常务委员会以全体组成人员的过半数通过。省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14:paraId="351E6E53">
      <w:pPr>
        <w:keepNext w:val="0"/>
        <w:keepLines w:val="0"/>
        <w:pageBreakBefore w:val="0"/>
        <w:widowControl/>
        <w:kinsoku/>
        <w:wordWrap/>
        <w:overflowPunct/>
        <w:topLinePunct w:val="0"/>
        <w:autoSpaceDE/>
        <w:autoSpaceDN/>
        <w:bidi w:val="0"/>
        <w:adjustRightInd/>
        <w:snapToGrid/>
        <w:spacing w:line="600" w:lineRule="exact"/>
        <w:ind w:left="0"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甘肃省人民代表大会常务委员会行使下列职权：在本省行政区域内，保证宪法、法律、行政法规和全国人民代表大会及其常务委员会决议的遵守和执行；领导或者主持省人民代表大会代表的选举；召集省人民代表大会会议；根据本省行政区域的具体情况和实际需要，在不同宪法、法律、行政法规相抵触的前提下，可以制定和颁布地方性法规，报全国人民代表大会常务委员会和国务院备案；讨论、决定本省行政区域内的政治、经济、教育、科学、文化、卫生、环境和资源保护、民政、民族等工作的重大事项；根据省人民政府的建议，决定对本省行政区域内的国民经济和社会发展计划、预算的部分变更；监督省人民政府、省监察委员会、省高级人民法院和省人民检察院的工作，联系省人民代表大会代表，受理人民群众对上述机关和国家工作人员的申诉和意见；撤销下一级人民代表大会及其常务委员会的不适当的决议；撤销省人民政府的不适当的决定和命令；在省人民代表大会闭会期间，决定副省长的个别任免；在省长、省高级人民法院院长、省人民检察院检察长因故不能担任职务的时候，从省人民政府、省高级人民法院、省人民检察院副职领导人员中决定代理的人选；决定省人民检察院代理检察长，须报最高人民检察院和全国人民代表大会常务委员会备案；根据省长的提名，决定省人民政府秘书长、厅长、委员会主任的任免；按照有关法律规定，任免省监察委员会副主任、委员，任免省高级人民法院副院长、庭长、副庭长、审判委员会委员、审判员，任免省人民检察院副检察长、检察委员会委员、检察员，批准任免下一级人民检察院检察长；根据省人民检察院检察长的提名，决定人民检察院分院检察长的任免；在省人民代表大会闭会期间，决定撤销个别副省长的职务；决定撤销任命的省人民政府其他组成人员和省高级人民法院副院长、庭长、副庭长、审判委员会委员、审判员，省人民检察院副检察长、检察委员会委员、检察员职务；在省人民代表大会闭会期间，补选全国人民代表大会出缺的代表和罢免个别代表；决定授予地方的荣誉称号。</w:t>
      </w:r>
    </w:p>
    <w:p w14:paraId="6A6F63B3">
      <w:pPr>
        <w:pStyle w:val="2"/>
        <w:keepNext w:val="0"/>
        <w:keepLines w:val="0"/>
        <w:pageBreakBefore w:val="0"/>
        <w:widowControl/>
        <w:numPr>
          <w:ilvl w:val="0"/>
          <w:numId w:val="1"/>
        </w:numPr>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8" w:name="_Toc18909"/>
      <w:bookmarkStart w:id="9" w:name="_Toc2326"/>
      <w:bookmarkStart w:id="10" w:name="_Toc21962"/>
      <w:bookmarkStart w:id="11" w:name="_Toc21375"/>
      <w:r>
        <w:rPr>
          <w:rFonts w:hint="eastAsia" w:ascii="Times New Roman" w:hAnsi="Times New Roman" w:eastAsia="宋体" w:cs="宋体"/>
          <w:bCs/>
          <w:sz w:val="28"/>
          <w:szCs w:val="28"/>
          <w:highlight w:val="none"/>
          <w:lang w:val="en-US" w:eastAsia="zh-CN"/>
        </w:rPr>
        <w:t>项目概况</w:t>
      </w:r>
      <w:bookmarkEnd w:id="8"/>
      <w:bookmarkEnd w:id="9"/>
      <w:bookmarkEnd w:id="10"/>
      <w:bookmarkEnd w:id="11"/>
    </w:p>
    <w:p w14:paraId="17B4A2C0">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b w:val="0"/>
          <w:bCs/>
          <w:kern w:val="2"/>
          <w:sz w:val="28"/>
          <w:szCs w:val="28"/>
          <w:highlight w:val="none"/>
          <w:lang w:val="en-US" w:eastAsia="zh-CN" w:bidi="ar-SA"/>
        </w:rPr>
      </w:pPr>
      <w:r>
        <w:rPr>
          <w:rFonts w:hint="eastAsia" w:ascii="Times New Roman" w:hAnsi="Times New Roman" w:eastAsia="宋体" w:cs="宋体"/>
          <w:b w:val="0"/>
          <w:bCs/>
          <w:kern w:val="2"/>
          <w:sz w:val="28"/>
          <w:szCs w:val="28"/>
          <w:highlight w:val="none"/>
          <w:lang w:val="en-US" w:eastAsia="zh-CN" w:bidi="ar-SA"/>
        </w:rPr>
        <w:t>2023年度甘肃省第十四届人民代表大会常务委员会会议共计举办6次，常务委员会会议在地方治理中扮演着重要的角色，其主要作用包括。一是立法和监督作用。常务委员会负责审议和通过地方性法规，监督法规的实施情况，确保法律法规在地方的贯彻执行。同时，对政府工作报告、预算报告等进行审议，行使宪法和法律赋予的监督权。二是参与重大决策的作用。常务委员会参与讨论和决定本行政区域内的重大事项，为地方政府的决策提供意见和建议，确保决策的科学性和民主性。三是人事任免作用。常务委员会根据法律规定，对本级机关领导人员及其组成人员进行选举、决定、罢免等，确保国家机构的高效运转。四是促进民主建设的作用。常务委员会通过召开会议、听取和审议工作报告等方式，促进民主决策、民主管理，推动地方民主政治建设的发展。</w:t>
      </w:r>
    </w:p>
    <w:p w14:paraId="6965C9CE">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宋体" w:cs="宋体"/>
          <w:b w:val="0"/>
          <w:bCs/>
          <w:kern w:val="2"/>
          <w:sz w:val="28"/>
          <w:szCs w:val="28"/>
          <w:highlight w:val="none"/>
          <w:lang w:val="en-US" w:eastAsia="zh-CN" w:bidi="ar-SA"/>
        </w:rPr>
      </w:pPr>
      <w:r>
        <w:rPr>
          <w:rFonts w:hint="default" w:ascii="Times New Roman" w:hAnsi="Times New Roman" w:eastAsia="宋体" w:cs="宋体"/>
          <w:b w:val="0"/>
          <w:bCs/>
          <w:kern w:val="2"/>
          <w:sz w:val="28"/>
          <w:szCs w:val="28"/>
          <w:highlight w:val="none"/>
          <w:lang w:val="en-US" w:eastAsia="zh-CN" w:bidi="ar-SA"/>
        </w:rPr>
        <w:t>总的来说，甘肃省第十四届人民代表大会常务委员会会议在维护法治、促进民主、推动经济社会发展等方面发挥着重要作用。同时，</w:t>
      </w:r>
      <w:r>
        <w:rPr>
          <w:rFonts w:hint="eastAsia" w:ascii="Times New Roman" w:hAnsi="Times New Roman" w:eastAsia="宋体" w:cs="宋体"/>
          <w:b w:val="0"/>
          <w:bCs/>
          <w:kern w:val="2"/>
          <w:sz w:val="28"/>
          <w:szCs w:val="28"/>
          <w:highlight w:val="none"/>
          <w:lang w:val="en-US" w:eastAsia="zh-CN" w:bidi="ar-SA"/>
        </w:rPr>
        <w:t>常委会</w:t>
      </w:r>
      <w:r>
        <w:rPr>
          <w:rFonts w:hint="default" w:ascii="Times New Roman" w:hAnsi="Times New Roman" w:eastAsia="宋体" w:cs="宋体"/>
          <w:b w:val="0"/>
          <w:bCs/>
          <w:kern w:val="2"/>
          <w:sz w:val="28"/>
          <w:szCs w:val="28"/>
          <w:highlight w:val="none"/>
          <w:lang w:val="en-US" w:eastAsia="zh-CN" w:bidi="ar-SA"/>
        </w:rPr>
        <w:t>还需不断加强自身建设，提高履职能力和水平，以更好地服务于人民群众的根本利益和地方经济社会的发展大局。</w:t>
      </w:r>
    </w:p>
    <w:p w14:paraId="4636D31F">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宋体" w:cs="宋体"/>
          <w:b w:val="0"/>
          <w:bCs/>
          <w:kern w:val="2"/>
          <w:sz w:val="28"/>
          <w:szCs w:val="28"/>
          <w:highlight w:val="none"/>
          <w:lang w:val="en-US" w:eastAsia="zh-CN" w:bidi="ar-SA"/>
        </w:rPr>
      </w:pPr>
      <w:r>
        <w:rPr>
          <w:rFonts w:hint="default" w:ascii="Times New Roman" w:hAnsi="Times New Roman" w:eastAsia="宋体" w:cs="宋体"/>
          <w:b w:val="0"/>
          <w:bCs/>
          <w:kern w:val="2"/>
          <w:sz w:val="28"/>
          <w:szCs w:val="28"/>
          <w:highlight w:val="none"/>
          <w:lang w:val="en-US" w:eastAsia="zh-CN" w:bidi="ar-SA"/>
        </w:rPr>
        <w:t>甘肃省人民代表大会常务委员会</w:t>
      </w:r>
      <w:r>
        <w:rPr>
          <w:rFonts w:hint="eastAsia" w:ascii="Times New Roman" w:hAnsi="Times New Roman" w:eastAsia="宋体" w:cs="宋体"/>
          <w:b w:val="0"/>
          <w:bCs/>
          <w:kern w:val="2"/>
          <w:sz w:val="28"/>
          <w:szCs w:val="28"/>
          <w:highlight w:val="none"/>
          <w:lang w:val="en-US" w:eastAsia="zh-CN" w:bidi="ar-SA"/>
        </w:rPr>
        <w:t>作为常委会会议组织主体，负责组织召开会议，提供会议场所，购置会议用品，在会议召开过程中，做好相应的服务保障工作，同时认真起草印发会议通知、主持讲话及各类会议文件，做好会议记录、会议纪要、印发会议简报，做好会议宣传等工作。</w:t>
      </w:r>
    </w:p>
    <w:p w14:paraId="7103BB6E">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12" w:name="_Toc8117"/>
      <w:bookmarkStart w:id="13" w:name="_Toc16517"/>
      <w:bookmarkStart w:id="14" w:name="_Toc699"/>
      <w:bookmarkStart w:id="15" w:name="_Toc8760"/>
      <w:r>
        <w:rPr>
          <w:rFonts w:hint="eastAsia" w:ascii="Times New Roman" w:hAnsi="Times New Roman" w:eastAsia="宋体" w:cs="宋体"/>
          <w:bCs/>
          <w:sz w:val="28"/>
          <w:szCs w:val="28"/>
          <w:highlight w:val="none"/>
          <w:lang w:val="en-US" w:eastAsia="zh-CN"/>
        </w:rPr>
        <w:t>（三）项目资金情况</w:t>
      </w:r>
      <w:bookmarkEnd w:id="12"/>
      <w:bookmarkEnd w:id="13"/>
      <w:bookmarkEnd w:id="14"/>
      <w:bookmarkEnd w:id="15"/>
    </w:p>
    <w:p w14:paraId="60C5FF35">
      <w:pPr>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项目资金：</w:t>
      </w:r>
      <w:r>
        <w:rPr>
          <w:rFonts w:hint="eastAsia" w:ascii="Times New Roman" w:hAnsi="Times New Roman" w:eastAsia="宋体" w:cs="宋体"/>
          <w:b w:val="0"/>
          <w:bCs/>
          <w:kern w:val="2"/>
          <w:sz w:val="28"/>
          <w:szCs w:val="28"/>
          <w:highlight w:val="none"/>
          <w:lang w:val="en-US" w:eastAsia="zh-CN" w:bidi="ar-SA"/>
        </w:rPr>
        <w:t>2023年度省人大常委会会议费项目当年财政拨款</w:t>
      </w:r>
      <w:r>
        <w:rPr>
          <w:rFonts w:hint="eastAsia" w:ascii="Times New Roman" w:hAnsi="Times New Roman" w:eastAsia="宋体" w:cs="宋体"/>
          <w:kern w:val="2"/>
          <w:sz w:val="28"/>
          <w:szCs w:val="28"/>
          <w:highlight w:val="none"/>
          <w:lang w:val="en-US" w:eastAsia="zh-CN" w:bidi="ar-SA"/>
        </w:rPr>
        <w:t>资金为350. 00万元。截至2023年12月31日，该项目共支出337.25万元，预算执行率96.36%。详细见表1-1。</w:t>
      </w:r>
    </w:p>
    <w:p w14:paraId="0EDCC52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482" w:firstLineChars="200"/>
        <w:jc w:val="center"/>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bCs/>
          <w:color w:val="auto"/>
          <w:sz w:val="24"/>
          <w:szCs w:val="24"/>
          <w:highlight w:val="none"/>
          <w:lang w:val="en-US" w:eastAsia="zh-CN"/>
        </w:rPr>
        <w:t>表1-1 2023年度省人大常委会会议费项目资金使用情况</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7"/>
        <w:gridCol w:w="1723"/>
        <w:gridCol w:w="1568"/>
        <w:gridCol w:w="2241"/>
      </w:tblGrid>
      <w:tr w14:paraId="70DD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753" w:type="pct"/>
            <w:shd w:val="clear" w:color="auto" w:fill="auto"/>
            <w:vAlign w:val="center"/>
          </w:tcPr>
          <w:p w14:paraId="0940B1E5">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项目名称</w:t>
            </w:r>
          </w:p>
        </w:tc>
        <w:tc>
          <w:tcPr>
            <w:tcW w:w="1011" w:type="pct"/>
            <w:shd w:val="clear" w:color="auto" w:fill="auto"/>
            <w:vAlign w:val="center"/>
          </w:tcPr>
          <w:p w14:paraId="58252253">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预算资金（万元）</w:t>
            </w:r>
          </w:p>
        </w:tc>
        <w:tc>
          <w:tcPr>
            <w:tcW w:w="920" w:type="pct"/>
            <w:shd w:val="clear" w:color="auto" w:fill="auto"/>
            <w:vAlign w:val="center"/>
          </w:tcPr>
          <w:p w14:paraId="0151BEDB">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执行数（万元）</w:t>
            </w:r>
          </w:p>
        </w:tc>
        <w:tc>
          <w:tcPr>
            <w:tcW w:w="1315" w:type="pct"/>
            <w:shd w:val="clear" w:color="auto" w:fill="auto"/>
            <w:vAlign w:val="center"/>
          </w:tcPr>
          <w:p w14:paraId="1B2EE85C">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sz w:val="24"/>
                <w:szCs w:val="24"/>
                <w:highlight w:val="none"/>
                <w:vertAlign w:val="baseline"/>
                <w:lang w:val="en-US" w:eastAsia="zh-CN"/>
              </w:rPr>
            </w:pPr>
            <w:r>
              <w:rPr>
                <w:rFonts w:hint="eastAsia" w:ascii="Times New Roman" w:hAnsi="Times New Roman" w:eastAsia="宋体" w:cs="宋体"/>
                <w:sz w:val="24"/>
                <w:szCs w:val="24"/>
                <w:highlight w:val="none"/>
                <w:vertAlign w:val="baseline"/>
                <w:lang w:val="en-US" w:eastAsia="zh-CN"/>
              </w:rPr>
              <w:t>执行率</w:t>
            </w:r>
          </w:p>
        </w:tc>
      </w:tr>
      <w:tr w14:paraId="2FA57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753" w:type="pct"/>
            <w:vAlign w:val="center"/>
          </w:tcPr>
          <w:p w14:paraId="56A538D1">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宋体" w:cs="宋体"/>
                <w:b w:val="0"/>
                <w:bCs w:val="0"/>
                <w:color w:val="auto"/>
                <w:sz w:val="24"/>
                <w:szCs w:val="24"/>
                <w:highlight w:val="none"/>
                <w:lang w:val="en-US" w:eastAsia="zh-CN"/>
              </w:rPr>
              <w:t>2023年度省人大常委会会议费项目</w:t>
            </w:r>
          </w:p>
        </w:tc>
        <w:tc>
          <w:tcPr>
            <w:tcW w:w="1011" w:type="pct"/>
            <w:vAlign w:val="center"/>
          </w:tcPr>
          <w:p w14:paraId="2D0E469C">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350.00</w:t>
            </w:r>
          </w:p>
        </w:tc>
        <w:tc>
          <w:tcPr>
            <w:tcW w:w="920" w:type="pct"/>
            <w:vAlign w:val="center"/>
          </w:tcPr>
          <w:p w14:paraId="480043E2">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337.25</w:t>
            </w:r>
          </w:p>
        </w:tc>
        <w:tc>
          <w:tcPr>
            <w:tcW w:w="1315" w:type="pct"/>
            <w:vAlign w:val="center"/>
          </w:tcPr>
          <w:p w14:paraId="65058014">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宋体"/>
                <w:b w:val="0"/>
                <w:bCs/>
                <w:sz w:val="24"/>
                <w:szCs w:val="24"/>
                <w:highlight w:val="none"/>
                <w:vertAlign w:val="baseline"/>
                <w:lang w:val="en-US" w:eastAsia="zh-CN"/>
              </w:rPr>
            </w:pPr>
            <w:r>
              <w:rPr>
                <w:rFonts w:hint="eastAsia" w:ascii="Times New Roman" w:hAnsi="Times New Roman" w:eastAsia="宋体" w:cs="宋体"/>
                <w:b w:val="0"/>
                <w:bCs/>
                <w:color w:val="000000" w:themeColor="text1"/>
                <w:kern w:val="2"/>
                <w:sz w:val="24"/>
                <w:szCs w:val="24"/>
                <w:highlight w:val="none"/>
                <w:lang w:val="en-US" w:eastAsia="zh-CN" w:bidi="ar-SA"/>
                <w14:textFill>
                  <w14:solidFill>
                    <w14:schemeClr w14:val="tx1"/>
                  </w14:solidFill>
                </w14:textFill>
              </w:rPr>
              <w:t>96.36%</w:t>
            </w:r>
          </w:p>
        </w:tc>
      </w:tr>
    </w:tbl>
    <w:p w14:paraId="3DB88A7A">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16" w:name="_Toc25270"/>
      <w:bookmarkStart w:id="17" w:name="_Toc1789"/>
      <w:bookmarkStart w:id="18" w:name="_Toc29896"/>
      <w:bookmarkStart w:id="19" w:name="_Toc13316"/>
      <w:r>
        <w:rPr>
          <w:rFonts w:hint="eastAsia" w:ascii="Times New Roman" w:hAnsi="Times New Roman" w:eastAsia="宋体" w:cs="宋体"/>
          <w:bCs/>
          <w:sz w:val="28"/>
          <w:szCs w:val="28"/>
          <w:highlight w:val="none"/>
          <w:lang w:val="en-US" w:eastAsia="zh-CN"/>
        </w:rPr>
        <w:t>（四）绩效目标</w:t>
      </w:r>
      <w:bookmarkEnd w:id="16"/>
      <w:bookmarkEnd w:id="17"/>
      <w:bookmarkEnd w:id="18"/>
      <w:bookmarkEnd w:id="19"/>
    </w:p>
    <w:p w14:paraId="1D5621F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1.项目总目标</w:t>
      </w:r>
    </w:p>
    <w:p w14:paraId="5D9F89EF">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b w:val="0"/>
          <w:bCs/>
          <w:kern w:val="2"/>
          <w:sz w:val="28"/>
          <w:szCs w:val="28"/>
          <w:highlight w:val="none"/>
          <w:lang w:val="en-US" w:eastAsia="zh-CN" w:bidi="ar-SA"/>
        </w:rPr>
      </w:pPr>
      <w:r>
        <w:rPr>
          <w:rFonts w:hint="default" w:ascii="Times New Roman" w:hAnsi="Times New Roman" w:eastAsia="宋体" w:cs="宋体"/>
          <w:b w:val="0"/>
          <w:bCs/>
          <w:kern w:val="2"/>
          <w:sz w:val="28"/>
          <w:szCs w:val="28"/>
          <w:highlight w:val="none"/>
          <w:lang w:val="en-US" w:eastAsia="zh-CN" w:bidi="ar-SA"/>
        </w:rPr>
        <w:t>甘肃省</w:t>
      </w:r>
      <w:r>
        <w:rPr>
          <w:rFonts w:hint="eastAsia" w:ascii="Times New Roman" w:hAnsi="Times New Roman" w:eastAsia="宋体" w:cs="宋体"/>
          <w:b w:val="0"/>
          <w:bCs/>
          <w:kern w:val="2"/>
          <w:sz w:val="28"/>
          <w:szCs w:val="28"/>
          <w:highlight w:val="none"/>
          <w:lang w:val="en-US" w:eastAsia="zh-CN" w:bidi="ar-SA"/>
        </w:rPr>
        <w:t>省人大常委会会议费项目</w:t>
      </w:r>
      <w:r>
        <w:rPr>
          <w:rFonts w:hint="default" w:ascii="Times New Roman" w:hAnsi="Times New Roman" w:eastAsia="宋体" w:cs="宋体"/>
          <w:b w:val="0"/>
          <w:bCs/>
          <w:kern w:val="2"/>
          <w:sz w:val="28"/>
          <w:szCs w:val="28"/>
          <w:highlight w:val="none"/>
          <w:lang w:val="en-US" w:eastAsia="zh-CN" w:bidi="ar-SA"/>
        </w:rPr>
        <w:t>的总体绩效目标，主要围绕以下</w:t>
      </w:r>
      <w:r>
        <w:rPr>
          <w:rFonts w:hint="eastAsia" w:ascii="Times New Roman" w:hAnsi="Times New Roman" w:eastAsia="宋体" w:cs="宋体"/>
          <w:b w:val="0"/>
          <w:bCs/>
          <w:kern w:val="2"/>
          <w:sz w:val="28"/>
          <w:szCs w:val="28"/>
          <w:highlight w:val="none"/>
          <w:lang w:val="en-US" w:eastAsia="zh-CN" w:bidi="ar-SA"/>
        </w:rPr>
        <w:t>四</w:t>
      </w:r>
      <w:r>
        <w:rPr>
          <w:rFonts w:hint="default" w:ascii="Times New Roman" w:hAnsi="Times New Roman" w:eastAsia="宋体" w:cs="宋体"/>
          <w:b w:val="0"/>
          <w:bCs/>
          <w:kern w:val="2"/>
          <w:sz w:val="28"/>
          <w:szCs w:val="28"/>
          <w:highlight w:val="none"/>
          <w:lang w:val="en-US" w:eastAsia="zh-CN" w:bidi="ar-SA"/>
        </w:rPr>
        <w:t>个方面</w:t>
      </w:r>
      <w:r>
        <w:rPr>
          <w:rFonts w:hint="eastAsia" w:ascii="Times New Roman" w:hAnsi="Times New Roman" w:eastAsia="宋体" w:cs="宋体"/>
          <w:b w:val="0"/>
          <w:bCs/>
          <w:kern w:val="2"/>
          <w:sz w:val="28"/>
          <w:szCs w:val="28"/>
          <w:highlight w:val="none"/>
          <w:lang w:val="en-US" w:eastAsia="zh-CN" w:bidi="ar-SA"/>
        </w:rPr>
        <w:t>。一是确保会议顺利召开与高效运作。提升会议组织与服务，确保人大常委会的顺利召开，提供高质量的会务组织与服务，包括会议议程安排、场地布置、设备调试、文件资料准备等，以提高会议效率和委员参会体验。参会委员履职保障，为参会委员提供充分的履职保障，包括交通、食宿、信息支持等，确保委员能够全身心投入会议，充分发表意见和建议。二是推动民主决策与科学立法。促进参会委员的广泛参与和深入讨论，通过设立讨论小组、组织专题调研等方式，增强委员对议案、报告的审议能力，提高决策的科学性和民主性。同时围绕全省经济社会发展大局和人民群众关心的热点难点问题，推动立法工作，确保制定的地方性法规符合宪法法律精神，体现地方特色，具有针对性和可操作性，提升立法质量。三是强化预算管理与资金绩效。严格按照预算法和相关规定，对省人大常委会会议费项目进行预算编制、执行和监督，确保资金使用的合法合规和效益最大化。建立项目支出绩效评价机制，对经费项目的实施过程、产出和效果进行全面、客观、公正的评价，及时发现问题并采取措施加以改进，提高资金使用的绩效水平。四是提升参会委员满意度与公众认可度。通过问卷调查、座谈会等方式收集代表对经费项目使用的意见和建议，不断改进工作，提高参会委员满意度。加强宣传报道，及时公布省人大常委会会的重要成果和经费项目的实施效果，提高公众对人大工作的认可度和支持度。</w:t>
      </w:r>
    </w:p>
    <w:p w14:paraId="513AE98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default" w:ascii="Times New Roman" w:hAnsi="Times New Roman" w:eastAsia="宋体" w:cs="宋体"/>
          <w:b w:val="0"/>
          <w:bCs/>
          <w:kern w:val="2"/>
          <w:sz w:val="28"/>
          <w:szCs w:val="28"/>
          <w:highlight w:val="none"/>
          <w:lang w:val="en-US" w:eastAsia="zh-CN" w:bidi="ar-SA"/>
        </w:rPr>
      </w:pPr>
      <w:r>
        <w:rPr>
          <w:rFonts w:hint="default" w:ascii="Times New Roman" w:hAnsi="Times New Roman" w:eastAsia="宋体" w:cs="宋体"/>
          <w:b w:val="0"/>
          <w:bCs/>
          <w:kern w:val="2"/>
          <w:sz w:val="28"/>
          <w:szCs w:val="28"/>
          <w:highlight w:val="none"/>
          <w:lang w:val="en-US" w:eastAsia="zh-CN" w:bidi="ar-SA"/>
        </w:rPr>
        <w:t>综上所述，</w:t>
      </w:r>
      <w:r>
        <w:rPr>
          <w:rFonts w:hint="eastAsia" w:ascii="Times New Roman" w:hAnsi="Times New Roman" w:eastAsia="宋体" w:cs="宋体"/>
          <w:b w:val="0"/>
          <w:bCs/>
          <w:kern w:val="2"/>
          <w:sz w:val="28"/>
          <w:szCs w:val="28"/>
          <w:highlight w:val="none"/>
          <w:lang w:val="en-US" w:eastAsia="zh-CN" w:bidi="ar-SA"/>
        </w:rPr>
        <w:t>2023年度省人大常委会会议费项目</w:t>
      </w:r>
      <w:r>
        <w:rPr>
          <w:rFonts w:hint="default" w:ascii="Times New Roman" w:hAnsi="Times New Roman" w:eastAsia="宋体" w:cs="宋体"/>
          <w:b w:val="0"/>
          <w:bCs/>
          <w:kern w:val="2"/>
          <w:sz w:val="28"/>
          <w:szCs w:val="28"/>
          <w:highlight w:val="none"/>
          <w:lang w:val="en-US" w:eastAsia="zh-CN" w:bidi="ar-SA"/>
        </w:rPr>
        <w:t>的总体绩效目标旨在确保会议顺利召开与高效运作、推动民主决策与科学立法、强化预算管理与资金绩效以及提升</w:t>
      </w:r>
      <w:r>
        <w:rPr>
          <w:rFonts w:hint="eastAsia" w:ascii="Times New Roman" w:hAnsi="Times New Roman" w:eastAsia="宋体" w:cs="宋体"/>
          <w:b w:val="0"/>
          <w:bCs/>
          <w:kern w:val="2"/>
          <w:sz w:val="28"/>
          <w:szCs w:val="28"/>
          <w:highlight w:val="none"/>
          <w:lang w:val="en-US" w:eastAsia="zh-CN" w:bidi="ar-SA"/>
        </w:rPr>
        <w:t>参会委员</w:t>
      </w:r>
      <w:r>
        <w:rPr>
          <w:rFonts w:hint="default" w:ascii="Times New Roman" w:hAnsi="Times New Roman" w:eastAsia="宋体" w:cs="宋体"/>
          <w:b w:val="0"/>
          <w:bCs/>
          <w:kern w:val="2"/>
          <w:sz w:val="28"/>
          <w:szCs w:val="28"/>
          <w:highlight w:val="none"/>
          <w:lang w:val="en-US" w:eastAsia="zh-CN" w:bidi="ar-SA"/>
        </w:rPr>
        <w:t>满意度与公众认可度。</w:t>
      </w:r>
    </w:p>
    <w:p w14:paraId="7DFC928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rPr>
          <w:rFonts w:hint="default"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2.年度绩效目标</w:t>
      </w:r>
    </w:p>
    <w:p w14:paraId="3142F824">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根据甘肃省人民代表大会常务委员会</w:t>
      </w:r>
      <w:r>
        <w:rPr>
          <w:rFonts w:hint="eastAsia" w:ascii="Times New Roman" w:hAnsi="Times New Roman" w:eastAsia="宋体" w:cs="宋体"/>
          <w:b w:val="0"/>
          <w:bCs/>
          <w:kern w:val="2"/>
          <w:sz w:val="28"/>
          <w:szCs w:val="28"/>
          <w:highlight w:val="none"/>
          <w:lang w:val="en-US" w:eastAsia="zh-CN" w:bidi="ar-SA"/>
        </w:rPr>
        <w:t>2023年度省人大常委会会议费项目</w:t>
      </w:r>
      <w:r>
        <w:rPr>
          <w:rFonts w:hint="eastAsia" w:ascii="Times New Roman" w:hAnsi="Times New Roman" w:eastAsia="宋体" w:cs="宋体"/>
          <w:kern w:val="2"/>
          <w:sz w:val="28"/>
          <w:szCs w:val="28"/>
          <w:highlight w:val="none"/>
          <w:lang w:val="en-US" w:eastAsia="zh-CN" w:bidi="ar-SA"/>
        </w:rPr>
        <w:t>绩效目标表显示：2023年度，我单位加强和改进了立法工作，发挥人大及其常委会在立法中的主导作用；加强和改进法律 实施工作，使人大及其常委会成为全面担负起宪法法律赋予和各项职责；加强和改进与人大代表特别是人民群众的联系，使国家权力机关成为同人民群众保持密切联系的代表机关。</w:t>
      </w:r>
    </w:p>
    <w:p w14:paraId="0783833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82" w:firstLineChars="200"/>
        <w:jc w:val="center"/>
        <w:textAlignment w:val="auto"/>
        <w:rPr>
          <w:rFonts w:hint="default" w:ascii="Times New Roman" w:hAnsi="Times New Roman" w:eastAsia="宋体" w:cs="宋体"/>
          <w:b/>
          <w:bCs/>
          <w:kern w:val="2"/>
          <w:sz w:val="24"/>
          <w:szCs w:val="24"/>
          <w:highlight w:val="none"/>
          <w:lang w:val="en-US" w:eastAsia="zh-CN" w:bidi="ar-SA"/>
        </w:rPr>
      </w:pPr>
      <w:r>
        <w:rPr>
          <w:rFonts w:hint="eastAsia" w:ascii="Times New Roman" w:hAnsi="Times New Roman" w:eastAsia="宋体" w:cs="宋体"/>
          <w:b/>
          <w:bCs/>
          <w:kern w:val="2"/>
          <w:sz w:val="24"/>
          <w:szCs w:val="24"/>
          <w:highlight w:val="none"/>
          <w:lang w:val="en-US" w:eastAsia="zh-CN" w:bidi="ar-SA"/>
        </w:rPr>
        <w:t>表1-2 2023年度省人大常委会会议费项目绩效目标表</w:t>
      </w:r>
    </w:p>
    <w:tbl>
      <w:tblPr>
        <w:tblStyle w:val="13"/>
        <w:tblW w:w="8297" w:type="dxa"/>
        <w:tblInd w:w="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1"/>
        <w:gridCol w:w="2350"/>
        <w:gridCol w:w="2972"/>
        <w:gridCol w:w="1624"/>
      </w:tblGrid>
      <w:tr w14:paraId="4B2F1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blHeader/>
        </w:trPr>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A8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20" w:name="_Toc2951"/>
            <w:bookmarkStart w:id="21" w:name="_Toc22048"/>
            <w:bookmarkStart w:id="22" w:name="_Toc13762"/>
            <w:r>
              <w:rPr>
                <w:rFonts w:hint="eastAsia" w:ascii="宋体" w:hAnsi="宋体" w:eastAsia="宋体" w:cs="宋体"/>
                <w:b/>
                <w:bCs/>
                <w:i w:val="0"/>
                <w:iCs w:val="0"/>
                <w:color w:val="000000"/>
                <w:kern w:val="0"/>
                <w:sz w:val="24"/>
                <w:szCs w:val="24"/>
                <w:u w:val="none"/>
                <w:lang w:val="en-US" w:eastAsia="zh-CN" w:bidi="ar"/>
              </w:rPr>
              <w:t>一级指标</w:t>
            </w:r>
          </w:p>
        </w:tc>
        <w:tc>
          <w:tcPr>
            <w:tcW w:w="2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0D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B3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三级指标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42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年度指标值</w:t>
            </w:r>
          </w:p>
        </w:tc>
      </w:tr>
      <w:tr w14:paraId="1F0D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CEA7B">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成本指标</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94CA">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经济成本指标</w:t>
            </w:r>
          </w:p>
        </w:tc>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22C3F">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成本控制率</w:t>
            </w:r>
          </w:p>
        </w:tc>
        <w:tc>
          <w:tcPr>
            <w:tcW w:w="1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8C608">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&gt;=95%</w:t>
            </w:r>
          </w:p>
        </w:tc>
      </w:tr>
      <w:tr w14:paraId="2167F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36BB7">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产出指标</w:t>
            </w:r>
          </w:p>
        </w:tc>
        <w:tc>
          <w:tcPr>
            <w:tcW w:w="23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2B151">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数量指标</w:t>
            </w:r>
          </w:p>
        </w:tc>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35EF">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办公用品购置种类</w:t>
            </w:r>
          </w:p>
        </w:tc>
        <w:tc>
          <w:tcPr>
            <w:tcW w:w="1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32F9F">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&gt;=3种</w:t>
            </w:r>
          </w:p>
        </w:tc>
      </w:tr>
      <w:tr w14:paraId="02659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1B68F">
            <w:pPr>
              <w:jc w:val="center"/>
              <w:rPr>
                <w:rFonts w:hint="eastAsia" w:ascii="宋体" w:hAnsi="宋体" w:eastAsia="宋体" w:cs="宋体"/>
                <w:b/>
                <w:bCs/>
                <w:i w:val="0"/>
                <w:iCs w:val="0"/>
                <w:color w:val="333333"/>
                <w:sz w:val="24"/>
                <w:szCs w:val="24"/>
                <w:u w:val="none"/>
              </w:rPr>
            </w:pPr>
          </w:p>
        </w:tc>
        <w:tc>
          <w:tcPr>
            <w:tcW w:w="23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F9BAB">
            <w:pPr>
              <w:jc w:val="center"/>
              <w:rPr>
                <w:rFonts w:hint="eastAsia" w:ascii="宋体" w:hAnsi="宋体" w:eastAsia="宋体" w:cs="宋体"/>
                <w:i w:val="0"/>
                <w:iCs w:val="0"/>
                <w:color w:val="333333"/>
                <w:sz w:val="24"/>
                <w:szCs w:val="24"/>
                <w:u w:val="none"/>
              </w:rPr>
            </w:pPr>
          </w:p>
        </w:tc>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035C">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会议召开场次</w:t>
            </w:r>
          </w:p>
        </w:tc>
        <w:tc>
          <w:tcPr>
            <w:tcW w:w="1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337A">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&gt;=6次</w:t>
            </w:r>
          </w:p>
        </w:tc>
      </w:tr>
      <w:tr w14:paraId="7F0F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731BA">
            <w:pPr>
              <w:jc w:val="center"/>
              <w:rPr>
                <w:rFonts w:hint="eastAsia" w:ascii="宋体" w:hAnsi="宋体" w:eastAsia="宋体" w:cs="宋体"/>
                <w:b/>
                <w:bCs/>
                <w:i w:val="0"/>
                <w:iCs w:val="0"/>
                <w:color w:val="333333"/>
                <w:sz w:val="24"/>
                <w:szCs w:val="24"/>
                <w:u w:val="none"/>
              </w:rPr>
            </w:pP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71B56">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质量指标</w:t>
            </w:r>
          </w:p>
        </w:tc>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F3888">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会议筹备及会务工作达标率</w:t>
            </w:r>
          </w:p>
        </w:tc>
        <w:tc>
          <w:tcPr>
            <w:tcW w:w="1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4EF1">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&gt;=90%</w:t>
            </w:r>
          </w:p>
        </w:tc>
      </w:tr>
      <w:tr w14:paraId="09DE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D81A8">
            <w:pPr>
              <w:jc w:val="center"/>
              <w:rPr>
                <w:rFonts w:hint="eastAsia" w:ascii="宋体" w:hAnsi="宋体" w:eastAsia="宋体" w:cs="宋体"/>
                <w:b/>
                <w:bCs/>
                <w:i w:val="0"/>
                <w:iCs w:val="0"/>
                <w:color w:val="333333"/>
                <w:sz w:val="24"/>
                <w:szCs w:val="24"/>
                <w:u w:val="none"/>
              </w:rPr>
            </w:pPr>
          </w:p>
        </w:tc>
        <w:tc>
          <w:tcPr>
            <w:tcW w:w="23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FF5ED6">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时效指标</w:t>
            </w:r>
          </w:p>
        </w:tc>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281B">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办公用品发放及时性</w:t>
            </w:r>
          </w:p>
        </w:tc>
        <w:tc>
          <w:tcPr>
            <w:tcW w:w="1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3D18">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1E7E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C2A56">
            <w:pPr>
              <w:jc w:val="center"/>
              <w:rPr>
                <w:rFonts w:hint="eastAsia" w:ascii="宋体" w:hAnsi="宋体" w:eastAsia="宋体" w:cs="宋体"/>
                <w:b/>
                <w:bCs/>
                <w:i w:val="0"/>
                <w:iCs w:val="0"/>
                <w:color w:val="333333"/>
                <w:sz w:val="24"/>
                <w:szCs w:val="24"/>
                <w:u w:val="none"/>
              </w:rPr>
            </w:pPr>
          </w:p>
        </w:tc>
        <w:tc>
          <w:tcPr>
            <w:tcW w:w="23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17E06">
            <w:pPr>
              <w:jc w:val="center"/>
              <w:rPr>
                <w:rFonts w:hint="eastAsia" w:ascii="宋体" w:hAnsi="宋体" w:eastAsia="宋体" w:cs="宋体"/>
                <w:i w:val="0"/>
                <w:iCs w:val="0"/>
                <w:color w:val="333333"/>
                <w:sz w:val="24"/>
                <w:szCs w:val="24"/>
                <w:u w:val="none"/>
              </w:rPr>
            </w:pPr>
          </w:p>
        </w:tc>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9FF0B">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会议筹备及时性</w:t>
            </w:r>
          </w:p>
        </w:tc>
        <w:tc>
          <w:tcPr>
            <w:tcW w:w="1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0232">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598D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7D91F">
            <w:pPr>
              <w:jc w:val="center"/>
              <w:rPr>
                <w:rFonts w:hint="eastAsia" w:ascii="宋体" w:hAnsi="宋体" w:eastAsia="宋体" w:cs="宋体"/>
                <w:b/>
                <w:bCs/>
                <w:i w:val="0"/>
                <w:iCs w:val="0"/>
                <w:color w:val="333333"/>
                <w:sz w:val="24"/>
                <w:szCs w:val="24"/>
                <w:u w:val="none"/>
              </w:rPr>
            </w:pPr>
          </w:p>
        </w:tc>
        <w:tc>
          <w:tcPr>
            <w:tcW w:w="23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6A315">
            <w:pPr>
              <w:jc w:val="center"/>
              <w:rPr>
                <w:rFonts w:hint="eastAsia" w:ascii="宋体" w:hAnsi="宋体" w:eastAsia="宋体" w:cs="宋体"/>
                <w:i w:val="0"/>
                <w:iCs w:val="0"/>
                <w:color w:val="333333"/>
                <w:sz w:val="24"/>
                <w:szCs w:val="24"/>
                <w:u w:val="none"/>
              </w:rPr>
            </w:pPr>
          </w:p>
        </w:tc>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D091">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监督检查及时性</w:t>
            </w:r>
          </w:p>
        </w:tc>
        <w:tc>
          <w:tcPr>
            <w:tcW w:w="1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E4CB6">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及时</w:t>
            </w:r>
          </w:p>
        </w:tc>
      </w:tr>
      <w:tr w14:paraId="55E65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D293B6">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效益指标</w:t>
            </w:r>
          </w:p>
        </w:tc>
        <w:tc>
          <w:tcPr>
            <w:tcW w:w="23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05A12">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社会效益指标</w:t>
            </w:r>
          </w:p>
        </w:tc>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2A65F">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法制宣传教育覆盖率</w:t>
            </w:r>
          </w:p>
        </w:tc>
        <w:tc>
          <w:tcPr>
            <w:tcW w:w="1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832D">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&gt;=95%</w:t>
            </w:r>
          </w:p>
        </w:tc>
      </w:tr>
      <w:tr w14:paraId="0FED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BA979">
            <w:pPr>
              <w:jc w:val="center"/>
              <w:rPr>
                <w:rFonts w:hint="eastAsia" w:ascii="宋体" w:hAnsi="宋体" w:eastAsia="宋体" w:cs="宋体"/>
                <w:b/>
                <w:bCs/>
                <w:i w:val="0"/>
                <w:iCs w:val="0"/>
                <w:color w:val="333333"/>
                <w:sz w:val="24"/>
                <w:szCs w:val="24"/>
                <w:u w:val="none"/>
              </w:rPr>
            </w:pPr>
          </w:p>
        </w:tc>
        <w:tc>
          <w:tcPr>
            <w:tcW w:w="23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BD51A">
            <w:pPr>
              <w:jc w:val="center"/>
              <w:rPr>
                <w:rFonts w:hint="eastAsia" w:ascii="宋体" w:hAnsi="宋体" w:eastAsia="宋体" w:cs="宋体"/>
                <w:i w:val="0"/>
                <w:iCs w:val="0"/>
                <w:color w:val="333333"/>
                <w:sz w:val="24"/>
                <w:szCs w:val="24"/>
                <w:u w:val="none"/>
              </w:rPr>
            </w:pPr>
          </w:p>
        </w:tc>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B859">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政治任务实现率</w:t>
            </w:r>
          </w:p>
        </w:tc>
        <w:tc>
          <w:tcPr>
            <w:tcW w:w="1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FA8BA">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=100%</w:t>
            </w:r>
          </w:p>
        </w:tc>
      </w:tr>
      <w:tr w14:paraId="7BBD4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13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6101">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满意度指标</w:t>
            </w:r>
          </w:p>
        </w:tc>
        <w:tc>
          <w:tcPr>
            <w:tcW w:w="2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69234">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服务对象满意度指标</w:t>
            </w:r>
          </w:p>
        </w:tc>
        <w:tc>
          <w:tcPr>
            <w:tcW w:w="29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B558">
            <w:pPr>
              <w:keepNext w:val="0"/>
              <w:keepLines w:val="0"/>
              <w:widowControl/>
              <w:suppressLineNumbers w:val="0"/>
              <w:jc w:val="left"/>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参会委员满意率</w:t>
            </w:r>
          </w:p>
        </w:tc>
        <w:tc>
          <w:tcPr>
            <w:tcW w:w="1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50D4">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&gt;=90%</w:t>
            </w:r>
          </w:p>
        </w:tc>
      </w:tr>
    </w:tbl>
    <w:p w14:paraId="419B7C8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23" w:name="_Toc30006"/>
      <w:r>
        <w:rPr>
          <w:rFonts w:hint="eastAsia" w:ascii="Times New Roman" w:hAnsi="Times New Roman" w:eastAsia="宋体" w:cs="宋体"/>
          <w:b/>
          <w:bCs/>
          <w:sz w:val="28"/>
          <w:szCs w:val="28"/>
          <w:highlight w:val="none"/>
          <w:lang w:val="en-US" w:eastAsia="zh-CN"/>
        </w:rPr>
        <w:t>二、评价工作简述</w:t>
      </w:r>
      <w:bookmarkEnd w:id="20"/>
      <w:bookmarkEnd w:id="21"/>
      <w:bookmarkEnd w:id="22"/>
      <w:bookmarkEnd w:id="23"/>
    </w:p>
    <w:p w14:paraId="2166C273">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24" w:name="_Toc1686"/>
      <w:bookmarkStart w:id="25" w:name="_Toc27805"/>
      <w:bookmarkStart w:id="26" w:name="_Toc15686"/>
      <w:bookmarkStart w:id="27" w:name="_Toc14347"/>
      <w:r>
        <w:rPr>
          <w:rFonts w:hint="eastAsia" w:ascii="Times New Roman" w:hAnsi="Times New Roman" w:eastAsia="宋体" w:cs="宋体"/>
          <w:bCs/>
          <w:sz w:val="28"/>
          <w:szCs w:val="28"/>
          <w:highlight w:val="none"/>
          <w:lang w:val="en-US" w:eastAsia="zh-CN"/>
        </w:rPr>
        <w:t>（一）基本情况</w:t>
      </w:r>
      <w:bookmarkEnd w:id="24"/>
      <w:bookmarkEnd w:id="25"/>
      <w:bookmarkEnd w:id="26"/>
      <w:bookmarkEnd w:id="27"/>
    </w:p>
    <w:p w14:paraId="0493B023">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1、评价目的</w:t>
      </w:r>
    </w:p>
    <w:p w14:paraId="232C734F">
      <w:pPr>
        <w:keepNext w:val="0"/>
        <w:keepLines w:val="0"/>
        <w:pageBreakBefore w:val="0"/>
        <w:widowControl/>
        <w:kinsoku/>
        <w:wordWrap/>
        <w:overflowPunct/>
        <w:topLinePunct w:val="0"/>
        <w:autoSpaceDE/>
        <w:autoSpaceDN/>
        <w:bidi w:val="0"/>
        <w:adjustRightInd/>
        <w:snapToGrid w:val="0"/>
        <w:spacing w:line="600" w:lineRule="exact"/>
        <w:ind w:left="0" w:firstLine="560" w:firstLineChars="200"/>
        <w:jc w:val="left"/>
        <w:textAlignment w:val="auto"/>
        <w:rPr>
          <w:rFonts w:hint="eastAsia" w:ascii="Times New Roman" w:hAnsi="Times New Roman" w:eastAsia="宋体" w:cs="宋体"/>
          <w:color w:val="000000"/>
          <w:kern w:val="0"/>
          <w:sz w:val="31"/>
          <w:szCs w:val="31"/>
          <w:highlight w:val="none"/>
          <w:lang w:val="en-US" w:eastAsia="zh-CN" w:bidi="ar"/>
        </w:rPr>
      </w:pPr>
      <w:r>
        <w:rPr>
          <w:rFonts w:hint="eastAsia" w:ascii="Times New Roman" w:hAnsi="Times New Roman" w:eastAsia="宋体" w:cs="宋体"/>
          <w:color w:val="000000"/>
          <w:kern w:val="0"/>
          <w:sz w:val="28"/>
          <w:szCs w:val="28"/>
          <w:highlight w:val="none"/>
          <w:lang w:val="en-US" w:eastAsia="zh-CN"/>
        </w:rPr>
        <w:t>本次甘肃省人民代表大会常务委员会2023年度省人大常委会会议费项目绩效评价以项目支出方向为主线，从项目决策、过程、产出、效果四个方面衡量项目实施效果。重点进行项目专项资金使用情况、具体工作开展情况等细化、深化的审核，目的在于找出甘肃省人民代表大会常务委员会2023年度省人大常委会会议费项目资金使用及项目管理中的薄弱环节，提出相关改进建议，从而提升财政资金使用效益，最大限度发挥财政资金的使用效益。</w:t>
      </w:r>
    </w:p>
    <w:p w14:paraId="32403AB2">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2、评价原则</w:t>
      </w:r>
    </w:p>
    <w:p w14:paraId="15FB69C1">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en-US" w:eastAsia="zh-CN"/>
        </w:rPr>
        <w:t>本次评价应当遵循以下基本原则：</w:t>
      </w:r>
    </w:p>
    <w:p w14:paraId="5433F110">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yellow"/>
          <w:lang w:val="en-US" w:eastAsia="zh-CN"/>
        </w:rPr>
      </w:pPr>
      <w:r>
        <w:rPr>
          <w:rFonts w:hint="eastAsia" w:ascii="Times New Roman" w:hAnsi="Times New Roman" w:eastAsia="宋体" w:cs="宋体"/>
          <w:b/>
          <w:bCs/>
          <w:kern w:val="0"/>
          <w:sz w:val="28"/>
          <w:szCs w:val="28"/>
          <w:highlight w:val="none"/>
          <w:lang w:val="en-US" w:eastAsia="zh-CN"/>
        </w:rPr>
        <w:t>（1）科学规范：</w:t>
      </w:r>
      <w:r>
        <w:rPr>
          <w:rFonts w:hint="eastAsia" w:ascii="Times New Roman" w:hAnsi="Times New Roman" w:eastAsia="宋体" w:cs="宋体"/>
          <w:kern w:val="0"/>
          <w:sz w:val="28"/>
          <w:szCs w:val="28"/>
          <w:highlight w:val="none"/>
          <w:lang w:val="en-US" w:eastAsia="zh-CN"/>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w:t>
      </w:r>
      <w:r>
        <w:rPr>
          <w:rFonts w:hint="eastAsia" w:ascii="Times New Roman" w:hAnsi="Times New Roman" w:eastAsia="宋体" w:cs="宋体"/>
          <w:kern w:val="0"/>
          <w:sz w:val="28"/>
          <w:szCs w:val="28"/>
          <w:highlight w:val="none"/>
          <w:lang w:val="en-US" w:eastAsia="zh-CN"/>
        </w:rPr>
        <w:t>绩效评价应当严格执行规定的程序，按照科学可行的要求，采用定量与定性分析相结合的方法，</w:t>
      </w:r>
      <w:r>
        <w:rPr>
          <w:rFonts w:hint="eastAsia" w:ascii="Times New Roman" w:hAnsi="Times New Roman" w:eastAsia="宋体" w:cs="宋体"/>
          <w:kern w:val="0"/>
          <w:sz w:val="28"/>
          <w:szCs w:val="28"/>
          <w:highlight w:val="none"/>
        </w:rPr>
        <w:t>对项目绩效进行客观、</w:t>
      </w:r>
      <w:r>
        <w:rPr>
          <w:rFonts w:hint="eastAsia" w:ascii="Times New Roman" w:hAnsi="Times New Roman" w:eastAsia="宋体" w:cs="宋体"/>
          <w:kern w:val="0"/>
          <w:sz w:val="28"/>
          <w:szCs w:val="28"/>
          <w:highlight w:val="none"/>
          <w:lang w:eastAsia="zh-CN"/>
        </w:rPr>
        <w:t>公正的反映。</w:t>
      </w:r>
    </w:p>
    <w:p w14:paraId="149C52D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（2）公正公开：</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kern w:val="0"/>
          <w:sz w:val="28"/>
          <w:szCs w:val="28"/>
          <w:highlight w:val="none"/>
          <w:lang w:val="en-US" w:eastAsia="zh-CN"/>
        </w:rPr>
        <w:t>绩效评价应当符合真实、客观、公正、透明的要求，依法公开并接受监督。</w:t>
      </w:r>
    </w:p>
    <w:p w14:paraId="764A21CE">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yellow"/>
          <w:lang w:val="en-US" w:eastAsia="zh-CN"/>
        </w:rPr>
      </w:pPr>
      <w:r>
        <w:rPr>
          <w:rFonts w:hint="eastAsia" w:ascii="Times New Roman" w:hAnsi="Times New Roman" w:eastAsia="宋体" w:cs="宋体"/>
          <w:b/>
          <w:bCs/>
          <w:kern w:val="0"/>
          <w:sz w:val="28"/>
          <w:szCs w:val="28"/>
          <w:highlight w:val="none"/>
          <w:lang w:val="en-US" w:eastAsia="zh-CN"/>
        </w:rPr>
        <w:t>（3）分级分类：</w:t>
      </w:r>
      <w:r>
        <w:rPr>
          <w:rFonts w:hint="eastAsia" w:ascii="Times New Roman" w:hAnsi="Times New Roman" w:eastAsia="宋体" w:cs="宋体"/>
          <w:kern w:val="0"/>
          <w:sz w:val="28"/>
          <w:szCs w:val="28"/>
          <w:highlight w:val="none"/>
          <w:lang w:val="en-US" w:eastAsia="zh-CN"/>
        </w:rPr>
        <w:t>绩效评价由评价机构根据评价对象的特点分类组织实施，本次绩效评价对象为</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甘肃省人民代表大会常务委员会2023年度省人大常委会会议费项目，根据项目各业务负责人的主要职责进行评价。</w:t>
      </w:r>
    </w:p>
    <w:p w14:paraId="4400735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kern w:val="0"/>
          <w:sz w:val="31"/>
          <w:szCs w:val="31"/>
          <w:highlight w:val="none"/>
          <w:lang w:val="en-US" w:eastAsia="zh-CN" w:bidi="ar"/>
        </w:rPr>
      </w:pPr>
      <w:r>
        <w:rPr>
          <w:rFonts w:hint="eastAsia" w:ascii="Times New Roman" w:hAnsi="Times New Roman" w:eastAsia="宋体" w:cs="宋体"/>
          <w:b/>
          <w:bCs/>
          <w:kern w:val="0"/>
          <w:sz w:val="28"/>
          <w:szCs w:val="28"/>
          <w:highlight w:val="none"/>
          <w:lang w:val="en-US" w:eastAsia="zh-CN"/>
        </w:rPr>
        <w:t>（4）绩效相关：</w:t>
      </w:r>
      <w:r>
        <w:rPr>
          <w:rFonts w:hint="eastAsia" w:ascii="Times New Roman" w:hAnsi="Times New Roman" w:eastAsia="宋体" w:cs="宋体"/>
          <w:kern w:val="0"/>
          <w:sz w:val="28"/>
          <w:szCs w:val="28"/>
          <w:highlight w:val="none"/>
          <w:lang w:val="en-US" w:eastAsia="zh-CN"/>
        </w:rPr>
        <w:t>绩效评价应当针对</w:t>
      </w:r>
      <w:r>
        <w:rPr>
          <w:rFonts w:hint="eastAsia" w:ascii="Times New Roman" w:hAnsi="Times New Roman" w:eastAsia="宋体" w:cs="宋体"/>
          <w:kern w:val="2"/>
          <w:sz w:val="28"/>
          <w:szCs w:val="28"/>
          <w:highlight w:val="none"/>
          <w:lang w:val="en-US" w:eastAsia="zh-CN" w:bidi="ar-SA"/>
        </w:rPr>
        <w:t>项目</w:t>
      </w:r>
      <w:r>
        <w:rPr>
          <w:rFonts w:hint="eastAsia" w:ascii="Times New Roman" w:hAnsi="Times New Roman" w:eastAsia="宋体" w:cs="宋体"/>
          <w:kern w:val="0"/>
          <w:sz w:val="28"/>
          <w:szCs w:val="28"/>
          <w:highlight w:val="none"/>
          <w:lang w:val="en-US" w:eastAsia="zh-CN"/>
        </w:rPr>
        <w:t>具体支出及其产出绩效进行，评价结果应当清晰反映支出和产出绩效之间的紧密对应关系。</w:t>
      </w:r>
      <w:r>
        <w:rPr>
          <w:rFonts w:hint="eastAsia" w:ascii="Times New Roman" w:hAnsi="Times New Roman" w:eastAsia="宋体" w:cs="宋体"/>
          <w:kern w:val="0"/>
          <w:sz w:val="28"/>
          <w:szCs w:val="28"/>
          <w:highlight w:val="none"/>
        </w:rPr>
        <w:t>评价结果应当清晰反映绩效目标的实现情况以及预算支出和绩效之间的关系</w:t>
      </w:r>
      <w:r>
        <w:rPr>
          <w:rFonts w:hint="eastAsia" w:ascii="Times New Roman" w:hAnsi="Times New Roman" w:eastAsia="宋体" w:cs="宋体"/>
          <w:kern w:val="0"/>
          <w:sz w:val="28"/>
          <w:szCs w:val="28"/>
          <w:highlight w:val="none"/>
          <w:lang w:eastAsia="zh-CN"/>
        </w:rPr>
        <w:t>。</w:t>
      </w:r>
      <w:r>
        <w:rPr>
          <w:rFonts w:hint="eastAsia" w:ascii="Times New Roman" w:hAnsi="Times New Roman" w:eastAsia="宋体" w:cs="宋体"/>
          <w:kern w:val="0"/>
          <w:sz w:val="28"/>
          <w:szCs w:val="28"/>
          <w:highlight w:val="none"/>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甘肃省人民代表大会常务委员会2023年度省人大常委会会议费项目绩效评价</w:t>
      </w:r>
      <w:r>
        <w:rPr>
          <w:rFonts w:hint="eastAsia" w:ascii="Times New Roman" w:hAnsi="Times New Roman" w:eastAsia="宋体" w:cs="宋体"/>
          <w:kern w:val="0"/>
          <w:sz w:val="28"/>
          <w:szCs w:val="28"/>
          <w:highlight w:val="none"/>
        </w:rPr>
        <w:t>在其</w:t>
      </w:r>
      <w:r>
        <w:rPr>
          <w:rFonts w:hint="eastAsia" w:ascii="Times New Roman" w:hAnsi="Times New Roman" w:eastAsia="宋体" w:cs="宋体"/>
          <w:kern w:val="0"/>
          <w:sz w:val="28"/>
          <w:szCs w:val="28"/>
          <w:highlight w:val="none"/>
          <w:lang w:val="en-US" w:eastAsia="zh-CN"/>
        </w:rPr>
        <w:t>拨付的资金支出</w:t>
      </w:r>
      <w:r>
        <w:rPr>
          <w:rFonts w:hint="eastAsia" w:ascii="Times New Roman" w:hAnsi="Times New Roman" w:eastAsia="宋体" w:cs="宋体"/>
          <w:kern w:val="0"/>
          <w:sz w:val="28"/>
          <w:szCs w:val="28"/>
          <w:highlight w:val="none"/>
        </w:rPr>
        <w:t>基础上开展，更加深入的评价其工作成效</w:t>
      </w:r>
      <w:r>
        <w:rPr>
          <w:rFonts w:hint="eastAsia" w:ascii="Times New Roman" w:hAnsi="Times New Roman" w:eastAsia="宋体" w:cs="宋体"/>
          <w:kern w:val="0"/>
          <w:sz w:val="28"/>
          <w:szCs w:val="28"/>
          <w:highlight w:val="none"/>
          <w:lang w:eastAsia="zh-CN"/>
        </w:rPr>
        <w:t>。</w:t>
      </w:r>
    </w:p>
    <w:p w14:paraId="08E7AFD0">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3、评价方法</w:t>
      </w:r>
    </w:p>
    <w:p w14:paraId="391FE76B">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color w:val="000000" w:themeColor="text1"/>
          <w:sz w:val="28"/>
          <w:szCs w:val="28"/>
          <w:highlight w:val="none"/>
          <w14:textFill>
            <w14:solidFill>
              <w14:schemeClr w14:val="tx1"/>
            </w14:solidFill>
          </w14:textFill>
        </w:rPr>
        <w:t>本次</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w:t>
      </w:r>
      <w:r>
        <w:rPr>
          <w:rFonts w:hint="eastAsia" w:ascii="Times New Roman" w:hAnsi="Times New Roman" w:eastAsia="宋体" w:cs="宋体"/>
          <w:color w:val="000000" w:themeColor="text1"/>
          <w:sz w:val="28"/>
          <w:szCs w:val="28"/>
          <w:highlight w:val="none"/>
          <w14:textFill>
            <w14:solidFill>
              <w14:schemeClr w14:val="tx1"/>
            </w14:solidFill>
          </w14:textFill>
        </w:rPr>
        <w:t>绩效</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评价</w:t>
      </w:r>
      <w:r>
        <w:rPr>
          <w:rFonts w:hint="eastAsia" w:ascii="Times New Roman" w:hAnsi="Times New Roman" w:eastAsia="宋体" w:cs="宋体"/>
          <w:color w:val="000000" w:themeColor="text1"/>
          <w:sz w:val="28"/>
          <w:szCs w:val="28"/>
          <w:highlight w:val="none"/>
          <w14:textFill>
            <w14:solidFill>
              <w14:schemeClr w14:val="tx1"/>
            </w14:solidFill>
          </w14:textFill>
        </w:rPr>
        <w:t>遵循科学规范、公正公开、分级分类、绩效相关的基本原则，坚持定量优先、定量与定性相结合的方式，以指标评价为基础，绩效评价工作采用（但不限于）以下评价方法：</w:t>
      </w:r>
    </w:p>
    <w:p w14:paraId="74C60CA8">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（1）成本效益分析法：</w:t>
      </w:r>
      <w:r>
        <w:rPr>
          <w:rFonts w:hint="eastAsia" w:ascii="Times New Roman" w:hAnsi="Times New Roman" w:eastAsia="宋体" w:cs="宋体"/>
          <w:kern w:val="0"/>
          <w:sz w:val="28"/>
          <w:szCs w:val="28"/>
          <w:highlight w:val="none"/>
          <w:lang w:val="en-US" w:eastAsia="zh-CN"/>
        </w:rPr>
        <w:t>是指将一定时期内的支出与效益进行对比分析，以评价绩效目标实现程度。结合预算支出确定的目标，比较支出所产生的效益及所付出的成本，通过比较分析，选择以最小成本取得最大效益的方案。在此次</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w:t>
      </w:r>
      <w:r>
        <w:rPr>
          <w:rFonts w:hint="eastAsia" w:ascii="Times New Roman" w:hAnsi="Times New Roman" w:eastAsia="宋体" w:cs="宋体"/>
          <w:kern w:val="0"/>
          <w:sz w:val="28"/>
          <w:szCs w:val="28"/>
          <w:highlight w:val="none"/>
          <w:lang w:val="en-US" w:eastAsia="zh-CN"/>
        </w:rPr>
        <w:t>绩效评价过程中，评价组将对</w:t>
      </w:r>
      <w:r>
        <w:rPr>
          <w:rFonts w:hint="eastAsia" w:ascii="Times New Roman" w:hAnsi="Times New Roman" w:eastAsia="宋体" w:cs="宋体"/>
          <w:color w:val="000000"/>
          <w:kern w:val="0"/>
          <w:sz w:val="28"/>
          <w:szCs w:val="28"/>
          <w:highlight w:val="none"/>
          <w:lang w:val="en-US" w:eastAsia="zh-CN"/>
        </w:rPr>
        <w:t>办培训宣传开展完成情况、工作运行保障情况、立法研究工作开展情况等方面</w:t>
      </w:r>
      <w:r>
        <w:rPr>
          <w:rFonts w:hint="eastAsia" w:ascii="Times New Roman" w:hAnsi="Times New Roman" w:eastAsia="宋体" w:cs="宋体"/>
          <w:kern w:val="0"/>
          <w:sz w:val="28"/>
          <w:szCs w:val="28"/>
          <w:highlight w:val="none"/>
          <w:lang w:val="en-US" w:eastAsia="zh-CN"/>
        </w:rPr>
        <w:t>进行产出效益调查，明确项目带来的实际效益。</w:t>
      </w:r>
    </w:p>
    <w:p w14:paraId="5923C40B">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（2）比较法：</w:t>
      </w:r>
      <w:r>
        <w:rPr>
          <w:rFonts w:hint="eastAsia" w:ascii="Times New Roman" w:hAnsi="Times New Roman" w:eastAsia="宋体" w:cs="宋体"/>
          <w:kern w:val="0"/>
          <w:sz w:val="28"/>
          <w:szCs w:val="28"/>
          <w:highlight w:val="none"/>
          <w:lang w:val="en-US" w:eastAsia="zh-CN"/>
        </w:rPr>
        <w:t>是指通过对绩效目标与实施效果、历史与当期情况、不同部门、单位和地区同类支出的比较，综合分析绩效目标实现程度。在此次</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w:t>
      </w:r>
      <w:r>
        <w:rPr>
          <w:rFonts w:hint="eastAsia" w:ascii="Times New Roman" w:hAnsi="Times New Roman" w:eastAsia="宋体" w:cs="宋体"/>
          <w:kern w:val="0"/>
          <w:sz w:val="28"/>
          <w:szCs w:val="28"/>
          <w:highlight w:val="none"/>
          <w:lang w:val="en-US" w:eastAsia="zh-CN"/>
        </w:rPr>
        <w:t>绩效评价中，对</w:t>
      </w:r>
      <w:r>
        <w:rPr>
          <w:rFonts w:hint="eastAsia" w:ascii="Times New Roman" w:hAnsi="Times New Roman" w:eastAsia="宋体" w:cs="宋体"/>
          <w:color w:val="000000"/>
          <w:kern w:val="0"/>
          <w:sz w:val="28"/>
          <w:szCs w:val="28"/>
          <w:highlight w:val="none"/>
          <w:lang w:val="en-US" w:eastAsia="zh-CN"/>
        </w:rPr>
        <w:t>会议组织开展情况、会议运行保障情况</w:t>
      </w:r>
      <w:r>
        <w:rPr>
          <w:rFonts w:hint="eastAsia" w:ascii="Times New Roman" w:hAnsi="Times New Roman" w:eastAsia="宋体" w:cs="宋体"/>
          <w:kern w:val="0"/>
          <w:sz w:val="28"/>
          <w:szCs w:val="28"/>
          <w:highlight w:val="none"/>
          <w:lang w:val="en-US" w:eastAsia="zh-CN"/>
        </w:rPr>
        <w:t>等与同类型项目作比较、与目标值作对比，确定当年项目实施情况，同时将</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甘肃省人民代表大会常务委员会2023年度省人大常委会会议费项目各组成部分实际完成情况</w:t>
      </w:r>
      <w:r>
        <w:rPr>
          <w:rFonts w:hint="eastAsia" w:ascii="Times New Roman" w:hAnsi="Times New Roman" w:eastAsia="宋体" w:cs="宋体"/>
          <w:kern w:val="0"/>
          <w:sz w:val="28"/>
          <w:szCs w:val="28"/>
          <w:highlight w:val="none"/>
          <w:lang w:val="en-US" w:eastAsia="zh-CN"/>
        </w:rPr>
        <w:t>与行业标准、计划标准、年初绩效目标做对比，核实项目实际执行情况。</w:t>
      </w:r>
    </w:p>
    <w:p w14:paraId="0395F4F4">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（3）因素分析法：</w:t>
      </w:r>
      <w:r>
        <w:rPr>
          <w:rFonts w:hint="eastAsia" w:ascii="Times New Roman" w:hAnsi="Times New Roman" w:eastAsia="宋体" w:cs="宋体"/>
          <w:kern w:val="0"/>
          <w:sz w:val="28"/>
          <w:szCs w:val="28"/>
          <w:highlight w:val="none"/>
          <w:lang w:val="en-US" w:eastAsia="zh-CN"/>
        </w:rPr>
        <w:t>是指通过综合分析影响绩效目标实现、实施效果的内外因素，评价绩效目标实现程度。通过综合分析影响绩效目标实现、实施效果的内部和外部因素，将影响投入和产出的各项因素罗列出来进行分析，计算投入产出比进行评价的方法。在此次</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w:t>
      </w:r>
      <w:r>
        <w:rPr>
          <w:rFonts w:hint="eastAsia" w:ascii="Times New Roman" w:hAnsi="Times New Roman" w:eastAsia="宋体" w:cs="宋体"/>
          <w:kern w:val="0"/>
          <w:sz w:val="28"/>
          <w:szCs w:val="28"/>
          <w:highlight w:val="none"/>
          <w:lang w:val="en-US" w:eastAsia="zh-CN"/>
        </w:rPr>
        <w:t>绩效评价中将项目实施过程中遇到的问题进行因素分析。</w:t>
      </w:r>
    </w:p>
    <w:p w14:paraId="074E8B66">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（4）公众评判法：</w:t>
      </w:r>
      <w:r>
        <w:rPr>
          <w:rFonts w:hint="eastAsia" w:ascii="Times New Roman" w:hAnsi="Times New Roman" w:eastAsia="宋体" w:cs="宋体"/>
          <w:kern w:val="0"/>
          <w:sz w:val="28"/>
          <w:szCs w:val="28"/>
          <w:highlight w:val="none"/>
          <w:lang w:val="en-US" w:eastAsia="zh-CN"/>
        </w:rPr>
        <w:t>是指通过公众问卷及抽样调查等对支出效果进行评判，评价绩效目标实现程度。在本次绩效评价工作中，与</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w:t>
      </w:r>
      <w:r>
        <w:rPr>
          <w:rFonts w:hint="eastAsia" w:ascii="Times New Roman" w:hAnsi="Times New Roman" w:eastAsia="宋体" w:cs="宋体"/>
          <w:kern w:val="2"/>
          <w:sz w:val="28"/>
          <w:szCs w:val="28"/>
          <w:highlight w:val="none"/>
          <w:lang w:val="en-US" w:eastAsia="zh-CN" w:bidi="ar-SA"/>
        </w:rPr>
        <w:t>中参会委员、工作人员</w:t>
      </w:r>
      <w:r>
        <w:rPr>
          <w:rFonts w:hint="eastAsia" w:ascii="Times New Roman" w:hAnsi="Times New Roman" w:eastAsia="宋体" w:cs="宋体"/>
          <w:kern w:val="0"/>
          <w:sz w:val="28"/>
          <w:szCs w:val="28"/>
          <w:highlight w:val="none"/>
          <w:lang w:val="en-US" w:eastAsia="zh-CN"/>
        </w:rPr>
        <w:t>进行问卷调查，获取公众对于</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w:t>
      </w:r>
      <w:r>
        <w:rPr>
          <w:rFonts w:hint="eastAsia" w:ascii="Times New Roman" w:hAnsi="Times New Roman" w:eastAsia="宋体" w:cs="宋体"/>
          <w:kern w:val="0"/>
          <w:sz w:val="28"/>
          <w:szCs w:val="28"/>
          <w:highlight w:val="none"/>
          <w:lang w:val="en-US" w:eastAsia="zh-CN"/>
        </w:rPr>
        <w:t>具体实施情况的客观评价。</w:t>
      </w:r>
    </w:p>
    <w:p w14:paraId="1ECF334B">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b/>
          <w:bCs/>
          <w:kern w:val="0"/>
          <w:sz w:val="28"/>
          <w:szCs w:val="28"/>
          <w:highlight w:val="none"/>
          <w:lang w:val="en-US" w:eastAsia="zh-CN"/>
        </w:rPr>
        <w:t>（5）标杆管理法。</w:t>
      </w:r>
      <w:r>
        <w:rPr>
          <w:rFonts w:hint="eastAsia" w:ascii="Times New Roman" w:hAnsi="Times New Roman" w:eastAsia="宋体" w:cs="宋体"/>
          <w:kern w:val="0"/>
          <w:sz w:val="28"/>
          <w:szCs w:val="28"/>
          <w:highlight w:val="none"/>
          <w:lang w:val="en-US" w:eastAsia="zh-CN"/>
        </w:rPr>
        <w:t>是指以国内同行业中较高的绩效水平为标杆进行评判，评价绩效目标实现程度。</w:t>
      </w:r>
    </w:p>
    <w:p w14:paraId="740BA217">
      <w:pPr>
        <w:keepNext w:val="0"/>
        <w:keepLines w:val="0"/>
        <w:pageBreakBefore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sz w:val="28"/>
          <w:szCs w:val="21"/>
          <w:highlight w:val="none"/>
          <w:lang w:val="en-US" w:eastAsia="zh-CN"/>
        </w:rPr>
      </w:pPr>
      <w:r>
        <w:rPr>
          <w:rFonts w:hint="eastAsia" w:ascii="Times New Roman" w:hAnsi="Times New Roman" w:eastAsia="宋体" w:cs="宋体"/>
          <w:b/>
          <w:bCs/>
          <w:sz w:val="28"/>
          <w:szCs w:val="21"/>
          <w:highlight w:val="none"/>
          <w:lang w:val="en-US" w:eastAsia="zh-CN"/>
        </w:rPr>
        <w:t>（6）文献法：</w:t>
      </w:r>
      <w:r>
        <w:rPr>
          <w:rFonts w:hint="eastAsia" w:ascii="Times New Roman" w:hAnsi="Times New Roman" w:eastAsia="宋体" w:cs="宋体"/>
          <w:sz w:val="28"/>
          <w:szCs w:val="21"/>
          <w:highlight w:val="none"/>
          <w:lang w:val="en-US" w:eastAsia="zh-CN"/>
        </w:rPr>
        <w:t>通过广泛收集绩效评价制度及评价对象制度，并通过对相关制度的研究，形成对绩效管理、项目组织实施程序、内容等的科学认识，从中选取信息，以达到调查研究的目的。</w:t>
      </w:r>
    </w:p>
    <w:p w14:paraId="490ADB85">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firstLine="562" w:firstLineChars="200"/>
        <w:jc w:val="both"/>
        <w:textAlignment w:val="auto"/>
        <w:outlineLvl w:val="9"/>
        <w:rPr>
          <w:rFonts w:hint="eastAsia" w:ascii="Times New Roman" w:hAnsi="Times New Roman" w:eastAsia="宋体" w:cs="宋体"/>
          <w:b/>
          <w:bCs/>
          <w:color w:val="000000"/>
          <w:kern w:val="24"/>
          <w:sz w:val="28"/>
          <w:szCs w:val="28"/>
          <w:highlight w:val="none"/>
          <w:lang w:val="en-US" w:eastAsia="zh-CN"/>
        </w:rPr>
      </w:pPr>
      <w:bookmarkStart w:id="28" w:name="_Toc217"/>
      <w:bookmarkStart w:id="29" w:name="_Toc27922"/>
      <w:r>
        <w:rPr>
          <w:rFonts w:hint="eastAsia" w:ascii="Times New Roman" w:hAnsi="Times New Roman" w:eastAsia="宋体" w:cs="宋体"/>
          <w:b/>
          <w:bCs/>
          <w:color w:val="000000"/>
          <w:kern w:val="24"/>
          <w:sz w:val="28"/>
          <w:szCs w:val="28"/>
          <w:highlight w:val="none"/>
          <w:lang w:val="en-US" w:eastAsia="zh-CN"/>
        </w:rPr>
        <w:t>4.评价标准</w:t>
      </w:r>
      <w:bookmarkEnd w:id="28"/>
      <w:bookmarkEnd w:id="29"/>
    </w:p>
    <w:p w14:paraId="71282F92">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（1）计划标准：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本次评价过程中广泛使用计划标准，将</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2023年项目工作计划、2023年项目实施重点、年初预算编制，与2023年项目实际完成情况进行比较评价，考察其计划目标设置合理性与项目实施的实际情况。</w:t>
      </w:r>
    </w:p>
    <w:p w14:paraId="6520F40D">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（2）行业标准：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依据国家公布的行业标准明确的指标数据或统一的技术要求和规范，考察</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w:t>
      </w:r>
      <w:r>
        <w:rPr>
          <w:rFonts w:hint="eastAsia" w:ascii="Times New Roman" w:hAnsi="Times New Roman" w:eastAsia="宋体" w:cs="宋体"/>
          <w:kern w:val="2"/>
          <w:sz w:val="28"/>
          <w:szCs w:val="28"/>
          <w:highlight w:val="none"/>
          <w:lang w:val="en-US" w:eastAsia="zh-CN" w:bidi="ar-SA"/>
        </w:rPr>
        <w:t>管理办法</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，主要包括对项目资金投入、项目实际开展的工作等是否符合制定的相关规范性文件。</w:t>
      </w:r>
    </w:p>
    <w:p w14:paraId="1C769713">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（3）历史标准：</w:t>
      </w:r>
      <w:r>
        <w:rPr>
          <w:rFonts w:hint="eastAsia" w:ascii="Times New Roman" w:hAnsi="Times New Roman" w:eastAsia="宋体" w:cs="宋体"/>
          <w:b w:val="0"/>
          <w:bCs w:val="0"/>
          <w:color w:val="000000" w:themeColor="text1"/>
          <w:sz w:val="28"/>
          <w:szCs w:val="28"/>
          <w:highlight w:val="none"/>
          <w:lang w:val="en-US" w:eastAsia="zh-CN"/>
          <w14:textFill>
            <w14:solidFill>
              <w14:schemeClr w14:val="tx1"/>
            </w14:solidFill>
          </w14:textFill>
        </w:rPr>
        <w:t>评</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价过程中，参照项目往年实施情况、同类型或延续性项目实施情况等，对</w:t>
      </w:r>
      <w:r>
        <w:rPr>
          <w:rFonts w:hint="eastAsia" w:ascii="Times New Roman" w:hAnsi="Times New Roman" w:eastAsia="宋体" w:cs="宋体"/>
          <w:color w:val="000000"/>
          <w:kern w:val="0"/>
          <w:sz w:val="28"/>
          <w:szCs w:val="28"/>
          <w:highlight w:val="none"/>
          <w:lang w:val="en-US" w:eastAsia="zh-CN"/>
        </w:rPr>
        <w:t>甘肃省人民代表大会常务委员会2023年度省人大常委会会议费项目</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工作进行纵向对比。</w:t>
      </w:r>
    </w:p>
    <w:p w14:paraId="0D137559">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bCs/>
          <w:color w:val="000000" w:themeColor="text1"/>
          <w:sz w:val="28"/>
          <w:szCs w:val="28"/>
          <w:highlight w:val="none"/>
          <w:lang w:val="en-US" w:eastAsia="zh-CN"/>
          <w14:textFill>
            <w14:solidFill>
              <w14:schemeClr w14:val="tx1"/>
            </w14:solidFill>
          </w14:textFill>
        </w:rPr>
        <w:t>（4）其他标准：</w:t>
      </w:r>
      <w:r>
        <w:rPr>
          <w:rFonts w:hint="eastAsia" w:ascii="Times New Roman" w:hAnsi="Times New Roman" w:eastAsia="宋体" w:cs="宋体"/>
          <w:color w:val="000000" w:themeColor="text1"/>
          <w:sz w:val="28"/>
          <w:szCs w:val="28"/>
          <w:highlight w:val="none"/>
          <w:lang w:val="en-US" w:eastAsia="zh-CN"/>
          <w14:textFill>
            <w14:solidFill>
              <w14:schemeClr w14:val="tx1"/>
            </w14:solidFill>
          </w14:textFill>
        </w:rPr>
        <w:t>主要依据项目个性特点和指标类型设计定性与定量标准，并充分与委托单位、预算部门沟通确定的评价标准。</w:t>
      </w:r>
    </w:p>
    <w:p w14:paraId="2980A75C">
      <w:pPr>
        <w:keepNext w:val="0"/>
        <w:keepLines w:val="0"/>
        <w:pageBreakBefore w:val="0"/>
        <w:widowControl/>
        <w:suppressLineNumbers w:val="0"/>
        <w:kinsoku/>
        <w:wordWrap/>
        <w:overflowPunct/>
        <w:topLinePunct w:val="0"/>
        <w:autoSpaceDE/>
        <w:autoSpaceDN/>
        <w:bidi w:val="0"/>
        <w:adjustRightIn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5、指标体系</w:t>
      </w:r>
    </w:p>
    <w:p w14:paraId="350C0575">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en-US" w:eastAsia="zh-CN"/>
        </w:rPr>
        <w:t>为深入贯彻落实《中共甘肃省委甘肃省人民政府关于全面实施预算绩效管理的实施意见》（甘发〔2018〕32号）、《财政部关于印发〈项目支出绩效评价管理办法〉的通知》（财预〔2020〕10号）及《甘肃省财政厅关于印发〈甘肃省省级预算绩效管理办法〉等6个办法和规程的通知》（甘财绩〔2020〕5号）等文件精神。甘肃省人民代表大会常务委员会积极推动建立全过程预算绩效管理常态化机制，及时安排部署，督促各项目管理部室及直属单位按照年初设定的绩效目标及绩效指标分类实施绩效评价工作，确保绩效评价工作质量，促进资金的安全、规范、高效运行。</w:t>
      </w:r>
    </w:p>
    <w:p w14:paraId="64DEDFCE">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yellow"/>
          <w:lang w:val="zh-CN" w:eastAsia="zh-CN"/>
        </w:rPr>
      </w:pPr>
      <w:r>
        <w:rPr>
          <w:rFonts w:hint="eastAsia" w:ascii="Times New Roman" w:hAnsi="Times New Roman" w:eastAsia="宋体" w:cs="宋体"/>
          <w:kern w:val="0"/>
          <w:sz w:val="28"/>
          <w:szCs w:val="28"/>
          <w:highlight w:val="none"/>
          <w:lang w:val="en-US" w:eastAsia="zh-CN"/>
        </w:rPr>
        <w:t>本次评价</w:t>
      </w:r>
      <w:r>
        <w:rPr>
          <w:rFonts w:hint="eastAsia" w:ascii="Times New Roman" w:hAnsi="Times New Roman" w:eastAsia="宋体" w:cs="宋体"/>
          <w:kern w:val="0"/>
          <w:sz w:val="28"/>
          <w:szCs w:val="28"/>
          <w:highlight w:val="none"/>
          <w:lang w:val="zh-CN" w:eastAsia="zh-CN"/>
        </w:rPr>
        <w:t>按照逻辑分析法设计思路，评价指标体系包括</w:t>
      </w:r>
      <w:r>
        <w:rPr>
          <w:rFonts w:hint="eastAsia" w:ascii="Times New Roman" w:hAnsi="Times New Roman" w:eastAsia="宋体" w:cs="宋体"/>
          <w:kern w:val="0"/>
          <w:sz w:val="28"/>
          <w:szCs w:val="28"/>
          <w:highlight w:val="none"/>
          <w:lang w:val="en-US" w:eastAsia="zh-CN"/>
        </w:rPr>
        <w:t>项目决策、过程、产出、效果四</w:t>
      </w:r>
      <w:r>
        <w:rPr>
          <w:rFonts w:hint="eastAsia" w:ascii="Times New Roman" w:hAnsi="Times New Roman" w:eastAsia="宋体" w:cs="宋体"/>
          <w:kern w:val="0"/>
          <w:sz w:val="28"/>
          <w:szCs w:val="28"/>
          <w:highlight w:val="none"/>
          <w:lang w:val="zh-CN" w:eastAsia="zh-CN"/>
        </w:rPr>
        <w:t>部分内容。指标体系整体框架由</w:t>
      </w:r>
      <w:r>
        <w:rPr>
          <w:rFonts w:hint="eastAsia" w:ascii="Times New Roman" w:hAnsi="Times New Roman" w:eastAsia="宋体" w:cs="宋体"/>
          <w:kern w:val="0"/>
          <w:sz w:val="28"/>
          <w:szCs w:val="28"/>
          <w:highlight w:val="none"/>
          <w:lang w:val="en-US" w:eastAsia="zh-CN"/>
        </w:rPr>
        <w:t>4</w:t>
      </w:r>
      <w:r>
        <w:rPr>
          <w:rFonts w:hint="eastAsia" w:ascii="Times New Roman" w:hAnsi="Times New Roman" w:eastAsia="宋体" w:cs="宋体"/>
          <w:kern w:val="0"/>
          <w:sz w:val="28"/>
          <w:szCs w:val="28"/>
          <w:highlight w:val="none"/>
          <w:lang w:val="zh-CN" w:eastAsia="zh-CN"/>
        </w:rPr>
        <w:t>个大类组成，包括</w:t>
      </w:r>
      <w:r>
        <w:rPr>
          <w:rFonts w:hint="eastAsia" w:ascii="Times New Roman" w:hAnsi="Times New Roman" w:eastAsia="宋体" w:cs="宋体"/>
          <w:kern w:val="0"/>
          <w:sz w:val="28"/>
          <w:szCs w:val="28"/>
          <w:highlight w:val="none"/>
          <w:lang w:val="en-US" w:eastAsia="zh-CN"/>
        </w:rPr>
        <w:t>4</w:t>
      </w:r>
      <w:r>
        <w:rPr>
          <w:rFonts w:hint="eastAsia" w:ascii="Times New Roman" w:hAnsi="Times New Roman" w:eastAsia="宋体" w:cs="宋体"/>
          <w:kern w:val="0"/>
          <w:sz w:val="28"/>
          <w:szCs w:val="28"/>
          <w:highlight w:val="none"/>
          <w:lang w:val="zh-CN" w:eastAsia="zh-CN"/>
        </w:rPr>
        <w:t>项一级指标、</w:t>
      </w:r>
      <w:r>
        <w:rPr>
          <w:rFonts w:hint="eastAsia" w:ascii="Times New Roman" w:hAnsi="Times New Roman" w:eastAsia="宋体" w:cs="宋体"/>
          <w:kern w:val="0"/>
          <w:sz w:val="28"/>
          <w:szCs w:val="28"/>
          <w:highlight w:val="none"/>
          <w:lang w:val="en-US" w:eastAsia="zh-CN"/>
        </w:rPr>
        <w:t>12</w:t>
      </w:r>
      <w:r>
        <w:rPr>
          <w:rFonts w:hint="eastAsia" w:ascii="Times New Roman" w:hAnsi="Times New Roman" w:eastAsia="宋体" w:cs="宋体"/>
          <w:kern w:val="0"/>
          <w:sz w:val="28"/>
          <w:szCs w:val="28"/>
          <w:highlight w:val="none"/>
          <w:lang w:val="zh-CN" w:eastAsia="zh-CN"/>
        </w:rPr>
        <w:t>项二级指标、</w:t>
      </w:r>
      <w:r>
        <w:rPr>
          <w:rFonts w:hint="eastAsia" w:ascii="Times New Roman" w:hAnsi="Times New Roman" w:eastAsia="宋体" w:cs="宋体"/>
          <w:kern w:val="0"/>
          <w:sz w:val="28"/>
          <w:szCs w:val="28"/>
          <w:highlight w:val="none"/>
          <w:lang w:val="en-US" w:eastAsia="zh-CN"/>
        </w:rPr>
        <w:t>33</w:t>
      </w:r>
      <w:r>
        <w:rPr>
          <w:rFonts w:hint="eastAsia" w:ascii="Times New Roman" w:hAnsi="Times New Roman" w:eastAsia="宋体" w:cs="宋体"/>
          <w:kern w:val="0"/>
          <w:sz w:val="28"/>
          <w:szCs w:val="28"/>
          <w:highlight w:val="none"/>
          <w:lang w:val="zh-CN" w:eastAsia="zh-CN"/>
        </w:rPr>
        <w:t>项三级指标组成。</w:t>
      </w:r>
    </w:p>
    <w:p w14:paraId="1A0ACA14">
      <w:pPr>
        <w:keepNext w:val="0"/>
        <w:keepLines w:val="0"/>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0"/>
          <w:sz w:val="28"/>
          <w:szCs w:val="28"/>
          <w:highlight w:val="none"/>
          <w:lang w:val="en-US" w:eastAsia="zh-CN"/>
        </w:rPr>
      </w:pPr>
      <w:r>
        <w:rPr>
          <w:rFonts w:hint="eastAsia" w:ascii="Times New Roman" w:hAnsi="Times New Roman" w:eastAsia="宋体" w:cs="宋体"/>
          <w:kern w:val="0"/>
          <w:sz w:val="28"/>
          <w:szCs w:val="28"/>
          <w:highlight w:val="none"/>
          <w:lang w:val="zh-CN" w:eastAsia="zh-CN"/>
        </w:rPr>
        <w:t>本次评价等级依据《</w:t>
      </w:r>
      <w:r>
        <w:rPr>
          <w:rFonts w:hint="eastAsia" w:ascii="Times New Roman" w:hAnsi="Times New Roman" w:eastAsia="宋体" w:cs="宋体"/>
          <w:kern w:val="0"/>
          <w:sz w:val="28"/>
          <w:szCs w:val="28"/>
          <w:highlight w:val="none"/>
          <w:lang w:val="en-US" w:eastAsia="zh-CN"/>
        </w:rPr>
        <w:t>甘肃省财政厅关于印发〈甘肃省省级预算绩效管理办法〉等6个办法和规程的通知》（甘财绩〔2020〕5号）</w:t>
      </w:r>
      <w:r>
        <w:rPr>
          <w:rFonts w:hint="eastAsia" w:ascii="Times New Roman" w:hAnsi="Times New Roman" w:eastAsia="宋体" w:cs="宋体"/>
          <w:kern w:val="0"/>
          <w:sz w:val="28"/>
          <w:szCs w:val="28"/>
          <w:highlight w:val="none"/>
          <w:lang w:val="zh-CN" w:eastAsia="zh-CN"/>
        </w:rPr>
        <w:t>规定：绩效评价结果采用综合评分定级的方法，并按照得分率确定绩效评级的方法开展。评价得分在</w:t>
      </w:r>
      <w:r>
        <w:rPr>
          <w:rFonts w:hint="eastAsia" w:ascii="Times New Roman" w:hAnsi="Times New Roman" w:eastAsia="宋体" w:cs="宋体"/>
          <w:kern w:val="0"/>
          <w:sz w:val="28"/>
          <w:szCs w:val="28"/>
          <w:highlight w:val="none"/>
          <w:lang w:val="en-US" w:eastAsia="zh-CN"/>
        </w:rPr>
        <w:t>90（含）-100分为优秀，80（含）-90分为良好，60（含）-80分为中，0-60分为较差。</w:t>
      </w:r>
      <w:r>
        <w:rPr>
          <w:rFonts w:hint="eastAsia" w:ascii="Times New Roman" w:hAnsi="Times New Roman" w:eastAsia="宋体" w:cs="宋体"/>
          <w:kern w:val="0"/>
          <w:sz w:val="28"/>
          <w:szCs w:val="28"/>
          <w:highlight w:val="none"/>
          <w:lang w:val="zh-CN" w:eastAsia="zh-CN"/>
        </w:rPr>
        <w:t>评价指标体系请见</w:t>
      </w:r>
      <w:r>
        <w:rPr>
          <w:rFonts w:hint="eastAsia" w:ascii="Times New Roman" w:hAnsi="Times New Roman" w:eastAsia="宋体" w:cs="宋体"/>
          <w:kern w:val="0"/>
          <w:sz w:val="28"/>
          <w:szCs w:val="28"/>
          <w:highlight w:val="none"/>
          <w:lang w:val="en-US" w:eastAsia="zh-CN"/>
        </w:rPr>
        <w:t>下表2-1：</w:t>
      </w:r>
    </w:p>
    <w:p w14:paraId="33D9F3ED">
      <w:pPr>
        <w:keepNext w:val="0"/>
        <w:keepLines w:val="0"/>
        <w:pageBreakBefore w:val="0"/>
        <w:widowControl w:val="0"/>
        <w:kinsoku/>
        <w:wordWrap/>
        <w:overflowPunct/>
        <w:topLinePunct w:val="0"/>
        <w:autoSpaceDE/>
        <w:autoSpaceDN/>
        <w:bidi w:val="0"/>
        <w:adjustRightInd/>
        <w:snapToGrid/>
        <w:spacing w:line="600" w:lineRule="exact"/>
        <w:ind w:firstLine="482" w:firstLineChars="200"/>
        <w:jc w:val="center"/>
        <w:textAlignment w:val="auto"/>
        <w:outlineLvl w:val="9"/>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表2-1 甘肃省人民代表大会常务委员会2023年度省人大常委会会议费项目绩效评价指标体系</w:t>
      </w:r>
    </w:p>
    <w:tbl>
      <w:tblPr>
        <w:tblStyle w:val="13"/>
        <w:tblW w:w="510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37"/>
        <w:gridCol w:w="884"/>
        <w:gridCol w:w="1810"/>
        <w:gridCol w:w="908"/>
        <w:gridCol w:w="2631"/>
        <w:gridCol w:w="1026"/>
      </w:tblGrid>
      <w:tr w14:paraId="296FA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blHeader/>
          <w:jc w:val="center"/>
        </w:trPr>
        <w:tc>
          <w:tcPr>
            <w:tcW w:w="826" w:type="pct"/>
            <w:tcBorders>
              <w:tl2br w:val="nil"/>
              <w:tr2bl w:val="nil"/>
            </w:tcBorders>
            <w:shd w:val="clear" w:color="auto" w:fill="auto"/>
            <w:noWrap/>
            <w:vAlign w:val="center"/>
          </w:tcPr>
          <w:p w14:paraId="0A7C7D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一级指标</w:t>
            </w:r>
          </w:p>
        </w:tc>
        <w:tc>
          <w:tcPr>
            <w:tcW w:w="508" w:type="pct"/>
            <w:tcBorders>
              <w:tl2br w:val="nil"/>
              <w:tr2bl w:val="nil"/>
            </w:tcBorders>
            <w:shd w:val="clear" w:color="auto" w:fill="auto"/>
            <w:noWrap/>
            <w:vAlign w:val="center"/>
          </w:tcPr>
          <w:p w14:paraId="68EB389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c>
          <w:tcPr>
            <w:tcW w:w="1040" w:type="pct"/>
            <w:tcBorders>
              <w:tl2br w:val="nil"/>
              <w:tr2bl w:val="nil"/>
            </w:tcBorders>
            <w:shd w:val="clear" w:color="auto" w:fill="auto"/>
            <w:noWrap/>
            <w:vAlign w:val="center"/>
          </w:tcPr>
          <w:p w14:paraId="6788FE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二级指标</w:t>
            </w:r>
          </w:p>
        </w:tc>
        <w:tc>
          <w:tcPr>
            <w:tcW w:w="522" w:type="pct"/>
            <w:tcBorders>
              <w:tl2br w:val="nil"/>
              <w:tr2bl w:val="nil"/>
            </w:tcBorders>
            <w:shd w:val="clear" w:color="auto" w:fill="auto"/>
            <w:noWrap/>
            <w:vAlign w:val="center"/>
          </w:tcPr>
          <w:p w14:paraId="1C4B64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c>
          <w:tcPr>
            <w:tcW w:w="1512" w:type="pct"/>
            <w:tcBorders>
              <w:tl2br w:val="nil"/>
              <w:tr2bl w:val="nil"/>
            </w:tcBorders>
            <w:shd w:val="clear" w:color="auto" w:fill="auto"/>
            <w:vAlign w:val="center"/>
          </w:tcPr>
          <w:p w14:paraId="06258D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三级指标</w:t>
            </w:r>
          </w:p>
        </w:tc>
        <w:tc>
          <w:tcPr>
            <w:tcW w:w="589" w:type="pct"/>
            <w:tcBorders>
              <w:tl2br w:val="nil"/>
              <w:tr2bl w:val="nil"/>
            </w:tcBorders>
            <w:shd w:val="clear" w:color="auto" w:fill="auto"/>
            <w:noWrap/>
            <w:vAlign w:val="center"/>
          </w:tcPr>
          <w:p w14:paraId="4D0063C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分值</w:t>
            </w:r>
          </w:p>
        </w:tc>
      </w:tr>
      <w:tr w14:paraId="0B6B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11F620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项目决策</w:t>
            </w:r>
          </w:p>
        </w:tc>
        <w:tc>
          <w:tcPr>
            <w:tcW w:w="508" w:type="pct"/>
            <w:vMerge w:val="restart"/>
            <w:tcBorders>
              <w:tl2br w:val="nil"/>
              <w:tr2bl w:val="nil"/>
            </w:tcBorders>
            <w:shd w:val="clear" w:color="auto" w:fill="auto"/>
            <w:noWrap/>
            <w:vAlign w:val="center"/>
          </w:tcPr>
          <w:p w14:paraId="74F814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040" w:type="pct"/>
            <w:vMerge w:val="restart"/>
            <w:tcBorders>
              <w:tl2br w:val="nil"/>
              <w:tr2bl w:val="nil"/>
            </w:tcBorders>
            <w:shd w:val="clear" w:color="auto" w:fill="auto"/>
            <w:noWrap/>
            <w:vAlign w:val="center"/>
          </w:tcPr>
          <w:p w14:paraId="703C920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项目立项</w:t>
            </w:r>
          </w:p>
        </w:tc>
        <w:tc>
          <w:tcPr>
            <w:tcW w:w="522" w:type="pct"/>
            <w:vMerge w:val="restart"/>
            <w:tcBorders>
              <w:tl2br w:val="nil"/>
              <w:tr2bl w:val="nil"/>
            </w:tcBorders>
            <w:shd w:val="clear" w:color="auto" w:fill="auto"/>
            <w:noWrap/>
            <w:vAlign w:val="center"/>
          </w:tcPr>
          <w:p w14:paraId="036445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512" w:type="pct"/>
            <w:tcBorders>
              <w:tl2br w:val="nil"/>
              <w:tr2bl w:val="nil"/>
            </w:tcBorders>
            <w:shd w:val="clear" w:color="auto" w:fill="auto"/>
            <w:vAlign w:val="center"/>
          </w:tcPr>
          <w:p w14:paraId="633B9D3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立项依据充分性</w:t>
            </w:r>
          </w:p>
        </w:tc>
        <w:tc>
          <w:tcPr>
            <w:tcW w:w="589" w:type="pct"/>
            <w:tcBorders>
              <w:tl2br w:val="nil"/>
              <w:tr2bl w:val="nil"/>
            </w:tcBorders>
            <w:shd w:val="clear" w:color="auto" w:fill="auto"/>
            <w:noWrap/>
            <w:vAlign w:val="center"/>
          </w:tcPr>
          <w:p w14:paraId="7970106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109B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DDA9BF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7977A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7F4E08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6E250A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90E39C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立项程序规范性</w:t>
            </w:r>
          </w:p>
        </w:tc>
        <w:tc>
          <w:tcPr>
            <w:tcW w:w="589" w:type="pct"/>
            <w:tcBorders>
              <w:tl2br w:val="nil"/>
              <w:tr2bl w:val="nil"/>
            </w:tcBorders>
            <w:shd w:val="clear" w:color="auto" w:fill="auto"/>
            <w:noWrap/>
            <w:vAlign w:val="center"/>
          </w:tcPr>
          <w:p w14:paraId="56B9EC0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008C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006F2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1FE488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664AD8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绩效目标</w:t>
            </w:r>
          </w:p>
        </w:tc>
        <w:tc>
          <w:tcPr>
            <w:tcW w:w="522" w:type="pct"/>
            <w:vMerge w:val="restart"/>
            <w:tcBorders>
              <w:tl2br w:val="nil"/>
              <w:tr2bl w:val="nil"/>
            </w:tcBorders>
            <w:shd w:val="clear" w:color="auto" w:fill="auto"/>
            <w:noWrap/>
            <w:vAlign w:val="center"/>
          </w:tcPr>
          <w:p w14:paraId="629DB9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c>
          <w:tcPr>
            <w:tcW w:w="1512" w:type="pct"/>
            <w:tcBorders>
              <w:tl2br w:val="nil"/>
              <w:tr2bl w:val="nil"/>
            </w:tcBorders>
            <w:shd w:val="clear" w:color="auto" w:fill="auto"/>
            <w:vAlign w:val="center"/>
          </w:tcPr>
          <w:p w14:paraId="1C763E7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绩效目标合理性</w:t>
            </w:r>
          </w:p>
        </w:tc>
        <w:tc>
          <w:tcPr>
            <w:tcW w:w="589" w:type="pct"/>
            <w:tcBorders>
              <w:tl2br w:val="nil"/>
              <w:tr2bl w:val="nil"/>
            </w:tcBorders>
            <w:shd w:val="clear" w:color="auto" w:fill="auto"/>
            <w:noWrap/>
            <w:vAlign w:val="center"/>
          </w:tcPr>
          <w:p w14:paraId="474FBCA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2B780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52FB5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842E11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653E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6A4B576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45045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绩效指标明确性</w:t>
            </w:r>
          </w:p>
        </w:tc>
        <w:tc>
          <w:tcPr>
            <w:tcW w:w="589" w:type="pct"/>
            <w:tcBorders>
              <w:tl2br w:val="nil"/>
              <w:tr2bl w:val="nil"/>
            </w:tcBorders>
            <w:shd w:val="clear" w:color="auto" w:fill="auto"/>
            <w:noWrap/>
            <w:vAlign w:val="center"/>
          </w:tcPr>
          <w:p w14:paraId="614596C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67E43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3B81E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1306C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713C82F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资金投入</w:t>
            </w:r>
          </w:p>
        </w:tc>
        <w:tc>
          <w:tcPr>
            <w:tcW w:w="522" w:type="pct"/>
            <w:vMerge w:val="restart"/>
            <w:tcBorders>
              <w:tl2br w:val="nil"/>
              <w:tr2bl w:val="nil"/>
            </w:tcBorders>
            <w:shd w:val="clear" w:color="auto" w:fill="auto"/>
            <w:noWrap/>
            <w:vAlign w:val="center"/>
          </w:tcPr>
          <w:p w14:paraId="673C69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5</w:t>
            </w:r>
          </w:p>
        </w:tc>
        <w:tc>
          <w:tcPr>
            <w:tcW w:w="1512" w:type="pct"/>
            <w:tcBorders>
              <w:tl2br w:val="nil"/>
              <w:tr2bl w:val="nil"/>
            </w:tcBorders>
            <w:shd w:val="clear" w:color="auto" w:fill="auto"/>
            <w:vAlign w:val="center"/>
          </w:tcPr>
          <w:p w14:paraId="4ABFB2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预算编制科学性</w:t>
            </w:r>
          </w:p>
        </w:tc>
        <w:tc>
          <w:tcPr>
            <w:tcW w:w="589" w:type="pct"/>
            <w:tcBorders>
              <w:tl2br w:val="nil"/>
              <w:tr2bl w:val="nil"/>
            </w:tcBorders>
            <w:shd w:val="clear" w:color="auto" w:fill="auto"/>
            <w:noWrap/>
            <w:vAlign w:val="center"/>
          </w:tcPr>
          <w:p w14:paraId="2174C1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08A5A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C82CDD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99B3A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937376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6EF0EB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209BD1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资金分配合规性</w:t>
            </w:r>
          </w:p>
        </w:tc>
        <w:tc>
          <w:tcPr>
            <w:tcW w:w="589" w:type="pct"/>
            <w:tcBorders>
              <w:tl2br w:val="nil"/>
              <w:tr2bl w:val="nil"/>
            </w:tcBorders>
            <w:shd w:val="clear" w:color="auto" w:fill="auto"/>
            <w:noWrap/>
            <w:vAlign w:val="center"/>
          </w:tcPr>
          <w:p w14:paraId="089952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5B43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vAlign w:val="center"/>
          </w:tcPr>
          <w:p w14:paraId="7BF49D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项目过程</w:t>
            </w:r>
          </w:p>
        </w:tc>
        <w:tc>
          <w:tcPr>
            <w:tcW w:w="508" w:type="pct"/>
            <w:vMerge w:val="restart"/>
            <w:tcBorders>
              <w:tl2br w:val="nil"/>
              <w:tr2bl w:val="nil"/>
            </w:tcBorders>
            <w:shd w:val="clear" w:color="auto" w:fill="auto"/>
            <w:noWrap/>
            <w:vAlign w:val="center"/>
          </w:tcPr>
          <w:p w14:paraId="700623A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w:t>
            </w:r>
          </w:p>
        </w:tc>
        <w:tc>
          <w:tcPr>
            <w:tcW w:w="1040" w:type="pct"/>
            <w:vMerge w:val="restart"/>
            <w:tcBorders>
              <w:tl2br w:val="nil"/>
              <w:tr2bl w:val="nil"/>
            </w:tcBorders>
            <w:shd w:val="clear" w:color="auto" w:fill="auto"/>
            <w:noWrap/>
            <w:vAlign w:val="center"/>
          </w:tcPr>
          <w:p w14:paraId="4F3843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资金管理</w:t>
            </w:r>
          </w:p>
        </w:tc>
        <w:tc>
          <w:tcPr>
            <w:tcW w:w="522" w:type="pct"/>
            <w:vMerge w:val="restart"/>
            <w:tcBorders>
              <w:tl2br w:val="nil"/>
              <w:tr2bl w:val="nil"/>
            </w:tcBorders>
            <w:shd w:val="clear" w:color="auto" w:fill="auto"/>
            <w:noWrap/>
            <w:vAlign w:val="center"/>
          </w:tcPr>
          <w:p w14:paraId="339E053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512" w:type="pct"/>
            <w:tcBorders>
              <w:tl2br w:val="nil"/>
              <w:tr2bl w:val="nil"/>
            </w:tcBorders>
            <w:shd w:val="clear" w:color="auto" w:fill="auto"/>
            <w:vAlign w:val="center"/>
          </w:tcPr>
          <w:p w14:paraId="34E454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资金到位率</w:t>
            </w:r>
          </w:p>
        </w:tc>
        <w:tc>
          <w:tcPr>
            <w:tcW w:w="589" w:type="pct"/>
            <w:tcBorders>
              <w:tl2br w:val="nil"/>
              <w:tr2bl w:val="nil"/>
            </w:tcBorders>
            <w:shd w:val="clear" w:color="auto" w:fill="auto"/>
            <w:noWrap/>
            <w:vAlign w:val="center"/>
          </w:tcPr>
          <w:p w14:paraId="7A2FE5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6849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3190B94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8F4DED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00DE53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1E2826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3F0838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预算执行率</w:t>
            </w:r>
          </w:p>
        </w:tc>
        <w:tc>
          <w:tcPr>
            <w:tcW w:w="589" w:type="pct"/>
            <w:tcBorders>
              <w:tl2br w:val="nil"/>
              <w:tr2bl w:val="nil"/>
            </w:tcBorders>
            <w:shd w:val="clear" w:color="auto" w:fill="auto"/>
            <w:noWrap/>
            <w:vAlign w:val="center"/>
          </w:tcPr>
          <w:p w14:paraId="148A0A2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0663D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66B07B8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5D0C2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1F2816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463F712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08A7DB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资金使用合规性</w:t>
            </w:r>
          </w:p>
        </w:tc>
        <w:tc>
          <w:tcPr>
            <w:tcW w:w="589" w:type="pct"/>
            <w:tcBorders>
              <w:tl2br w:val="nil"/>
              <w:tr2bl w:val="nil"/>
            </w:tcBorders>
            <w:shd w:val="clear" w:color="auto" w:fill="auto"/>
            <w:noWrap/>
            <w:vAlign w:val="center"/>
          </w:tcPr>
          <w:p w14:paraId="1AB0C41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24BA8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549B475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90607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FFDF5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D8920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4EE1B2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财务管理规范性</w:t>
            </w:r>
          </w:p>
        </w:tc>
        <w:tc>
          <w:tcPr>
            <w:tcW w:w="589" w:type="pct"/>
            <w:tcBorders>
              <w:tl2br w:val="nil"/>
              <w:tr2bl w:val="nil"/>
            </w:tcBorders>
            <w:shd w:val="clear" w:color="auto" w:fill="auto"/>
            <w:noWrap/>
            <w:vAlign w:val="center"/>
          </w:tcPr>
          <w:p w14:paraId="0859D1F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D753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2F0204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0C40D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036B2A3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组织实施</w:t>
            </w:r>
          </w:p>
        </w:tc>
        <w:tc>
          <w:tcPr>
            <w:tcW w:w="522" w:type="pct"/>
            <w:vMerge w:val="restart"/>
            <w:tcBorders>
              <w:tl2br w:val="nil"/>
              <w:tr2bl w:val="nil"/>
            </w:tcBorders>
            <w:shd w:val="clear" w:color="auto" w:fill="auto"/>
            <w:noWrap/>
            <w:vAlign w:val="center"/>
          </w:tcPr>
          <w:p w14:paraId="485D3B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13</w:t>
            </w:r>
          </w:p>
        </w:tc>
        <w:tc>
          <w:tcPr>
            <w:tcW w:w="1512" w:type="pct"/>
            <w:tcBorders>
              <w:tl2br w:val="nil"/>
              <w:tr2bl w:val="nil"/>
            </w:tcBorders>
            <w:shd w:val="clear" w:color="auto" w:fill="auto"/>
            <w:vAlign w:val="center"/>
          </w:tcPr>
          <w:p w14:paraId="1D9F42C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业务管理制度健全性</w:t>
            </w:r>
          </w:p>
        </w:tc>
        <w:tc>
          <w:tcPr>
            <w:tcW w:w="589" w:type="pct"/>
            <w:tcBorders>
              <w:tl2br w:val="nil"/>
              <w:tr2bl w:val="nil"/>
            </w:tcBorders>
            <w:shd w:val="clear" w:color="auto" w:fill="auto"/>
            <w:noWrap/>
            <w:vAlign w:val="center"/>
          </w:tcPr>
          <w:p w14:paraId="59C4E32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570B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25E8710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DA4C2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CEA6B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22229E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4BB59C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制度执行有效性</w:t>
            </w:r>
          </w:p>
        </w:tc>
        <w:tc>
          <w:tcPr>
            <w:tcW w:w="589" w:type="pct"/>
            <w:tcBorders>
              <w:tl2br w:val="nil"/>
              <w:tr2bl w:val="nil"/>
            </w:tcBorders>
            <w:shd w:val="clear" w:color="auto" w:fill="auto"/>
            <w:noWrap/>
            <w:vAlign w:val="center"/>
          </w:tcPr>
          <w:p w14:paraId="58C02B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41B1B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48BFC77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1204C2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D1BAE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F263A2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7D241C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政府采购规范性</w:t>
            </w:r>
          </w:p>
        </w:tc>
        <w:tc>
          <w:tcPr>
            <w:tcW w:w="589" w:type="pct"/>
            <w:tcBorders>
              <w:tl2br w:val="nil"/>
              <w:tr2bl w:val="nil"/>
            </w:tcBorders>
            <w:shd w:val="clear" w:color="auto" w:fill="auto"/>
            <w:noWrap/>
            <w:vAlign w:val="center"/>
          </w:tcPr>
          <w:p w14:paraId="11D2B8B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6805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vAlign w:val="center"/>
          </w:tcPr>
          <w:p w14:paraId="5FF74E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73B850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D86646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E7C64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76FD6B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资金监管工作开展情况</w:t>
            </w:r>
          </w:p>
        </w:tc>
        <w:tc>
          <w:tcPr>
            <w:tcW w:w="589" w:type="pct"/>
            <w:tcBorders>
              <w:tl2br w:val="nil"/>
              <w:tr2bl w:val="nil"/>
            </w:tcBorders>
            <w:shd w:val="clear" w:color="auto" w:fill="auto"/>
            <w:noWrap/>
            <w:vAlign w:val="center"/>
          </w:tcPr>
          <w:p w14:paraId="74BA9D0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5584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736DAC2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项目产出</w:t>
            </w:r>
          </w:p>
        </w:tc>
        <w:tc>
          <w:tcPr>
            <w:tcW w:w="508" w:type="pct"/>
            <w:vMerge w:val="restart"/>
            <w:tcBorders>
              <w:tl2br w:val="nil"/>
              <w:tr2bl w:val="nil"/>
            </w:tcBorders>
            <w:shd w:val="clear" w:color="auto" w:fill="auto"/>
            <w:noWrap/>
            <w:vAlign w:val="center"/>
          </w:tcPr>
          <w:p w14:paraId="22FDB78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w:t>
            </w:r>
          </w:p>
        </w:tc>
        <w:tc>
          <w:tcPr>
            <w:tcW w:w="1040" w:type="pct"/>
            <w:vMerge w:val="restart"/>
            <w:tcBorders>
              <w:tl2br w:val="nil"/>
              <w:tr2bl w:val="nil"/>
            </w:tcBorders>
            <w:shd w:val="clear" w:color="auto" w:fill="auto"/>
            <w:noWrap/>
            <w:vAlign w:val="center"/>
          </w:tcPr>
          <w:p w14:paraId="25AA5C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产出数量</w:t>
            </w:r>
          </w:p>
        </w:tc>
        <w:tc>
          <w:tcPr>
            <w:tcW w:w="522" w:type="pct"/>
            <w:vMerge w:val="restart"/>
            <w:tcBorders>
              <w:tl2br w:val="nil"/>
              <w:tr2bl w:val="nil"/>
            </w:tcBorders>
            <w:shd w:val="clear" w:color="auto" w:fill="auto"/>
            <w:noWrap/>
            <w:vAlign w:val="center"/>
          </w:tcPr>
          <w:p w14:paraId="70DE46A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512" w:type="pct"/>
            <w:tcBorders>
              <w:tl2br w:val="nil"/>
              <w:tr2bl w:val="nil"/>
            </w:tcBorders>
            <w:shd w:val="clear" w:color="auto" w:fill="auto"/>
            <w:vAlign w:val="center"/>
          </w:tcPr>
          <w:p w14:paraId="15FA8C1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省人大常委会会议计划完成率</w:t>
            </w:r>
          </w:p>
        </w:tc>
        <w:tc>
          <w:tcPr>
            <w:tcW w:w="589" w:type="pct"/>
            <w:tcBorders>
              <w:tl2br w:val="nil"/>
              <w:tr2bl w:val="nil"/>
            </w:tcBorders>
            <w:shd w:val="clear" w:color="auto" w:fill="auto"/>
            <w:noWrap/>
            <w:vAlign w:val="center"/>
          </w:tcPr>
          <w:p w14:paraId="28456C1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49CFB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6ABF949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477423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2DCC2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3F175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D0AA3E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会议用品采购计划完成率</w:t>
            </w:r>
          </w:p>
        </w:tc>
        <w:tc>
          <w:tcPr>
            <w:tcW w:w="589" w:type="pct"/>
            <w:tcBorders>
              <w:tl2br w:val="nil"/>
              <w:tr2bl w:val="nil"/>
            </w:tcBorders>
            <w:shd w:val="clear" w:color="auto" w:fill="auto"/>
            <w:noWrap/>
            <w:vAlign w:val="center"/>
          </w:tcPr>
          <w:p w14:paraId="38F4B54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35142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5D09E50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6AF4AF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4154276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282A0F4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C2D611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会议印刷材料计划完成率</w:t>
            </w:r>
          </w:p>
        </w:tc>
        <w:tc>
          <w:tcPr>
            <w:tcW w:w="589" w:type="pct"/>
            <w:tcBorders>
              <w:tl2br w:val="nil"/>
              <w:tr2bl w:val="nil"/>
            </w:tcBorders>
            <w:shd w:val="clear" w:color="auto" w:fill="auto"/>
            <w:noWrap/>
            <w:vAlign w:val="center"/>
          </w:tcPr>
          <w:p w14:paraId="6F3FAF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212A8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EC7960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D43B78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63F0674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2BCC60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C8590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印发会议简报计划完成率</w:t>
            </w:r>
          </w:p>
        </w:tc>
        <w:tc>
          <w:tcPr>
            <w:tcW w:w="589" w:type="pct"/>
            <w:tcBorders>
              <w:tl2br w:val="nil"/>
              <w:tr2bl w:val="nil"/>
            </w:tcBorders>
            <w:shd w:val="clear" w:color="auto" w:fill="auto"/>
            <w:noWrap/>
            <w:vAlign w:val="center"/>
          </w:tcPr>
          <w:p w14:paraId="03ADB7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434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5AEA12B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207B449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1E9DD4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产出质量</w:t>
            </w:r>
          </w:p>
        </w:tc>
        <w:tc>
          <w:tcPr>
            <w:tcW w:w="522" w:type="pct"/>
            <w:vMerge w:val="restart"/>
            <w:tcBorders>
              <w:tl2br w:val="nil"/>
              <w:tr2bl w:val="nil"/>
            </w:tcBorders>
            <w:shd w:val="clear" w:color="auto" w:fill="auto"/>
            <w:noWrap/>
            <w:vAlign w:val="center"/>
          </w:tcPr>
          <w:p w14:paraId="63A890B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512" w:type="pct"/>
            <w:tcBorders>
              <w:tl2br w:val="nil"/>
              <w:tr2bl w:val="nil"/>
            </w:tcBorders>
            <w:shd w:val="clear" w:color="auto" w:fill="auto"/>
            <w:vAlign w:val="center"/>
          </w:tcPr>
          <w:p w14:paraId="41A3609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保障会议场次覆盖率</w:t>
            </w:r>
          </w:p>
        </w:tc>
        <w:tc>
          <w:tcPr>
            <w:tcW w:w="589" w:type="pct"/>
            <w:tcBorders>
              <w:tl2br w:val="nil"/>
              <w:tr2bl w:val="nil"/>
            </w:tcBorders>
            <w:shd w:val="clear" w:color="auto" w:fill="auto"/>
            <w:noWrap/>
            <w:vAlign w:val="center"/>
          </w:tcPr>
          <w:p w14:paraId="18CBAB5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3ADA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682082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F1B442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BFBF16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0A8C1C1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38F75C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会议用品采购合格率</w:t>
            </w:r>
          </w:p>
        </w:tc>
        <w:tc>
          <w:tcPr>
            <w:tcW w:w="589" w:type="pct"/>
            <w:tcBorders>
              <w:tl2br w:val="nil"/>
              <w:tr2bl w:val="nil"/>
            </w:tcBorders>
            <w:shd w:val="clear" w:color="auto" w:fill="auto"/>
            <w:noWrap/>
            <w:vAlign w:val="center"/>
          </w:tcPr>
          <w:p w14:paraId="64612A4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B4E5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529B8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081E3F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6FEB808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478DA5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2B843A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印刷材料合格率</w:t>
            </w:r>
          </w:p>
        </w:tc>
        <w:tc>
          <w:tcPr>
            <w:tcW w:w="589" w:type="pct"/>
            <w:tcBorders>
              <w:tl2br w:val="nil"/>
              <w:tr2bl w:val="nil"/>
            </w:tcBorders>
            <w:shd w:val="clear" w:color="auto" w:fill="auto"/>
            <w:noWrap/>
            <w:vAlign w:val="center"/>
          </w:tcPr>
          <w:p w14:paraId="108124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322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3" w:hRule="atLeast"/>
          <w:jc w:val="center"/>
        </w:trPr>
        <w:tc>
          <w:tcPr>
            <w:tcW w:w="826" w:type="pct"/>
            <w:vMerge w:val="continue"/>
            <w:tcBorders>
              <w:tl2br w:val="nil"/>
              <w:tr2bl w:val="nil"/>
            </w:tcBorders>
            <w:shd w:val="clear" w:color="auto" w:fill="auto"/>
            <w:noWrap/>
            <w:vAlign w:val="center"/>
          </w:tcPr>
          <w:p w14:paraId="7E29A5F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2CBEF1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6A51C7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F9854E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81DC3F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会议简报印发准确率</w:t>
            </w:r>
          </w:p>
        </w:tc>
        <w:tc>
          <w:tcPr>
            <w:tcW w:w="589" w:type="pct"/>
            <w:tcBorders>
              <w:tl2br w:val="nil"/>
              <w:tr2bl w:val="nil"/>
            </w:tcBorders>
            <w:shd w:val="clear" w:color="auto" w:fill="auto"/>
            <w:noWrap/>
            <w:vAlign w:val="center"/>
          </w:tcPr>
          <w:p w14:paraId="50929CC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7AF0D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52F670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6CE759F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148C06D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产出时效</w:t>
            </w:r>
          </w:p>
        </w:tc>
        <w:tc>
          <w:tcPr>
            <w:tcW w:w="522" w:type="pct"/>
            <w:vMerge w:val="restart"/>
            <w:tcBorders>
              <w:tl2br w:val="nil"/>
              <w:tr2bl w:val="nil"/>
            </w:tcBorders>
            <w:shd w:val="clear" w:color="auto" w:fill="auto"/>
            <w:noWrap/>
            <w:vAlign w:val="center"/>
          </w:tcPr>
          <w:p w14:paraId="59D51EC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1512" w:type="pct"/>
            <w:tcBorders>
              <w:tl2br w:val="nil"/>
              <w:tr2bl w:val="nil"/>
            </w:tcBorders>
            <w:shd w:val="clear" w:color="auto" w:fill="auto"/>
            <w:vAlign w:val="center"/>
          </w:tcPr>
          <w:p w14:paraId="219769C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会议开展及时性</w:t>
            </w:r>
          </w:p>
        </w:tc>
        <w:tc>
          <w:tcPr>
            <w:tcW w:w="589" w:type="pct"/>
            <w:tcBorders>
              <w:tl2br w:val="nil"/>
              <w:tr2bl w:val="nil"/>
            </w:tcBorders>
            <w:shd w:val="clear" w:color="auto" w:fill="auto"/>
            <w:noWrap/>
            <w:vAlign w:val="center"/>
          </w:tcPr>
          <w:p w14:paraId="7F0C597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2B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D2BD40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95769E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22F4187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4E3E9B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58DEAE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会议用品购置及时性</w:t>
            </w:r>
          </w:p>
        </w:tc>
        <w:tc>
          <w:tcPr>
            <w:tcW w:w="589" w:type="pct"/>
            <w:tcBorders>
              <w:tl2br w:val="nil"/>
              <w:tr2bl w:val="nil"/>
            </w:tcBorders>
            <w:shd w:val="clear" w:color="auto" w:fill="auto"/>
            <w:noWrap/>
            <w:vAlign w:val="center"/>
          </w:tcPr>
          <w:p w14:paraId="6626561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EBA3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44CC41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2FD933C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5E444AE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7DAF456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6F83DD5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印刷会议材料及时性</w:t>
            </w:r>
          </w:p>
        </w:tc>
        <w:tc>
          <w:tcPr>
            <w:tcW w:w="589" w:type="pct"/>
            <w:tcBorders>
              <w:tl2br w:val="nil"/>
              <w:tr2bl w:val="nil"/>
            </w:tcBorders>
            <w:shd w:val="clear" w:color="auto" w:fill="auto"/>
            <w:noWrap/>
            <w:vAlign w:val="center"/>
          </w:tcPr>
          <w:p w14:paraId="6CFFA64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EACE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0B41D21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008919E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3759D45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C428ED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707A43D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会议简报印发及时性</w:t>
            </w:r>
          </w:p>
        </w:tc>
        <w:tc>
          <w:tcPr>
            <w:tcW w:w="589" w:type="pct"/>
            <w:tcBorders>
              <w:tl2br w:val="nil"/>
              <w:tr2bl w:val="nil"/>
            </w:tcBorders>
            <w:shd w:val="clear" w:color="auto" w:fill="auto"/>
            <w:noWrap/>
            <w:vAlign w:val="center"/>
          </w:tcPr>
          <w:p w14:paraId="442FF70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755B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4F48AC6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49300ED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tcBorders>
              <w:tl2br w:val="nil"/>
              <w:tr2bl w:val="nil"/>
            </w:tcBorders>
            <w:shd w:val="clear" w:color="auto" w:fill="auto"/>
            <w:noWrap/>
            <w:vAlign w:val="center"/>
          </w:tcPr>
          <w:p w14:paraId="613FE066">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产出成本</w:t>
            </w:r>
          </w:p>
        </w:tc>
        <w:tc>
          <w:tcPr>
            <w:tcW w:w="522" w:type="pct"/>
            <w:tcBorders>
              <w:tl2br w:val="nil"/>
              <w:tr2bl w:val="nil"/>
            </w:tcBorders>
            <w:shd w:val="clear" w:color="auto" w:fill="auto"/>
            <w:noWrap/>
            <w:vAlign w:val="center"/>
          </w:tcPr>
          <w:p w14:paraId="500C35A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512" w:type="pct"/>
            <w:tcBorders>
              <w:tl2br w:val="nil"/>
              <w:tr2bl w:val="nil"/>
            </w:tcBorders>
            <w:shd w:val="clear" w:color="auto" w:fill="auto"/>
            <w:vAlign w:val="center"/>
          </w:tcPr>
          <w:p w14:paraId="04402ED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成本节约率</w:t>
            </w:r>
          </w:p>
        </w:tc>
        <w:tc>
          <w:tcPr>
            <w:tcW w:w="589" w:type="pct"/>
            <w:tcBorders>
              <w:tl2br w:val="nil"/>
              <w:tr2bl w:val="nil"/>
            </w:tcBorders>
            <w:shd w:val="clear" w:color="auto" w:fill="auto"/>
            <w:noWrap/>
            <w:vAlign w:val="center"/>
          </w:tcPr>
          <w:p w14:paraId="57ECAEE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44F6F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restart"/>
            <w:tcBorders>
              <w:tl2br w:val="nil"/>
              <w:tr2bl w:val="nil"/>
            </w:tcBorders>
            <w:shd w:val="clear" w:color="auto" w:fill="auto"/>
            <w:noWrap/>
            <w:vAlign w:val="center"/>
          </w:tcPr>
          <w:p w14:paraId="64BB66E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项目效益</w:t>
            </w:r>
          </w:p>
        </w:tc>
        <w:tc>
          <w:tcPr>
            <w:tcW w:w="508" w:type="pct"/>
            <w:vMerge w:val="restart"/>
            <w:tcBorders>
              <w:tl2br w:val="nil"/>
              <w:tr2bl w:val="nil"/>
            </w:tcBorders>
            <w:shd w:val="clear" w:color="auto" w:fill="auto"/>
            <w:noWrap/>
            <w:vAlign w:val="center"/>
          </w:tcPr>
          <w:p w14:paraId="059F8D8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29</w:t>
            </w:r>
          </w:p>
        </w:tc>
        <w:tc>
          <w:tcPr>
            <w:tcW w:w="1040" w:type="pct"/>
            <w:vMerge w:val="restart"/>
            <w:tcBorders>
              <w:tl2br w:val="nil"/>
              <w:tr2bl w:val="nil"/>
            </w:tcBorders>
            <w:shd w:val="clear" w:color="auto" w:fill="auto"/>
            <w:noWrap/>
            <w:vAlign w:val="center"/>
          </w:tcPr>
          <w:p w14:paraId="0DEB35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社会效益</w:t>
            </w:r>
          </w:p>
        </w:tc>
        <w:tc>
          <w:tcPr>
            <w:tcW w:w="522" w:type="pct"/>
            <w:vMerge w:val="restart"/>
            <w:tcBorders>
              <w:tl2br w:val="nil"/>
              <w:tr2bl w:val="nil"/>
            </w:tcBorders>
            <w:shd w:val="clear" w:color="auto" w:fill="auto"/>
            <w:noWrap/>
            <w:vAlign w:val="center"/>
          </w:tcPr>
          <w:p w14:paraId="4F8E74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w:t>
            </w:r>
          </w:p>
        </w:tc>
        <w:tc>
          <w:tcPr>
            <w:tcW w:w="1512" w:type="pct"/>
            <w:tcBorders>
              <w:tl2br w:val="nil"/>
              <w:tr2bl w:val="nil"/>
            </w:tcBorders>
            <w:shd w:val="clear" w:color="auto" w:fill="auto"/>
            <w:vAlign w:val="center"/>
          </w:tcPr>
          <w:p w14:paraId="29B5DBB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维护法治促进民主发展提升性</w:t>
            </w:r>
          </w:p>
        </w:tc>
        <w:tc>
          <w:tcPr>
            <w:tcW w:w="589" w:type="pct"/>
            <w:tcBorders>
              <w:tl2br w:val="nil"/>
              <w:tr2bl w:val="nil"/>
            </w:tcBorders>
            <w:shd w:val="clear" w:color="auto" w:fill="auto"/>
            <w:noWrap/>
            <w:vAlign w:val="center"/>
          </w:tcPr>
          <w:p w14:paraId="6E0994F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0C45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47DDDE6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12F1645">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019F86A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3F7ABA1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1B55F621">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民生经济发展保障性</w:t>
            </w:r>
          </w:p>
        </w:tc>
        <w:tc>
          <w:tcPr>
            <w:tcW w:w="589" w:type="pct"/>
            <w:tcBorders>
              <w:tl2br w:val="nil"/>
              <w:tr2bl w:val="nil"/>
            </w:tcBorders>
            <w:shd w:val="clear" w:color="auto" w:fill="auto"/>
            <w:noWrap/>
            <w:vAlign w:val="center"/>
          </w:tcPr>
          <w:p w14:paraId="0444A25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34D9D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2489343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13A9FF1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2C0511F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可持续影响</w:t>
            </w:r>
          </w:p>
        </w:tc>
        <w:tc>
          <w:tcPr>
            <w:tcW w:w="522" w:type="pct"/>
            <w:vMerge w:val="restart"/>
            <w:tcBorders>
              <w:tl2br w:val="nil"/>
              <w:tr2bl w:val="nil"/>
            </w:tcBorders>
            <w:shd w:val="clear" w:color="auto" w:fill="auto"/>
            <w:noWrap/>
            <w:vAlign w:val="center"/>
          </w:tcPr>
          <w:p w14:paraId="009EB09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w:t>
            </w:r>
          </w:p>
        </w:tc>
        <w:tc>
          <w:tcPr>
            <w:tcW w:w="1512" w:type="pct"/>
            <w:tcBorders>
              <w:tl2br w:val="nil"/>
              <w:tr2bl w:val="nil"/>
            </w:tcBorders>
            <w:shd w:val="clear" w:color="auto" w:fill="auto"/>
            <w:vAlign w:val="center"/>
          </w:tcPr>
          <w:p w14:paraId="20562AB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长效管理机制健全性</w:t>
            </w:r>
          </w:p>
        </w:tc>
        <w:tc>
          <w:tcPr>
            <w:tcW w:w="589" w:type="pct"/>
            <w:tcBorders>
              <w:tl2br w:val="nil"/>
              <w:tr2bl w:val="nil"/>
            </w:tcBorders>
            <w:shd w:val="clear" w:color="auto" w:fill="auto"/>
            <w:noWrap/>
            <w:vAlign w:val="center"/>
          </w:tcPr>
          <w:p w14:paraId="274ECD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5C8D1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14A6887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38D4FB3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1F47BD0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590B51F9">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4E28177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档案管理机制完备性</w:t>
            </w:r>
          </w:p>
        </w:tc>
        <w:tc>
          <w:tcPr>
            <w:tcW w:w="589" w:type="pct"/>
            <w:tcBorders>
              <w:tl2br w:val="nil"/>
              <w:tr2bl w:val="nil"/>
            </w:tcBorders>
            <w:shd w:val="clear" w:color="auto" w:fill="auto"/>
            <w:noWrap/>
            <w:vAlign w:val="center"/>
          </w:tcPr>
          <w:p w14:paraId="2860E5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76EA6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7BE9371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7600CF8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restart"/>
            <w:tcBorders>
              <w:tl2br w:val="nil"/>
              <w:tr2bl w:val="nil"/>
            </w:tcBorders>
            <w:shd w:val="clear" w:color="auto" w:fill="auto"/>
            <w:noWrap/>
            <w:vAlign w:val="center"/>
          </w:tcPr>
          <w:p w14:paraId="4C95783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满意度</w:t>
            </w:r>
          </w:p>
        </w:tc>
        <w:tc>
          <w:tcPr>
            <w:tcW w:w="522" w:type="pct"/>
            <w:vMerge w:val="restart"/>
            <w:tcBorders>
              <w:tl2br w:val="nil"/>
              <w:tr2bl w:val="nil"/>
            </w:tcBorders>
            <w:shd w:val="clear" w:color="auto" w:fill="auto"/>
            <w:noWrap/>
            <w:vAlign w:val="center"/>
          </w:tcPr>
          <w:p w14:paraId="7A2428F8">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512" w:type="pct"/>
            <w:tcBorders>
              <w:tl2br w:val="nil"/>
              <w:tr2bl w:val="nil"/>
            </w:tcBorders>
            <w:shd w:val="clear" w:color="auto" w:fill="auto"/>
            <w:vAlign w:val="center"/>
          </w:tcPr>
          <w:p w14:paraId="7596C37A">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参会委员满意度</w:t>
            </w:r>
          </w:p>
        </w:tc>
        <w:tc>
          <w:tcPr>
            <w:tcW w:w="589" w:type="pct"/>
            <w:tcBorders>
              <w:tl2br w:val="nil"/>
              <w:tr2bl w:val="nil"/>
            </w:tcBorders>
            <w:shd w:val="clear" w:color="auto" w:fill="auto"/>
            <w:noWrap/>
            <w:vAlign w:val="center"/>
          </w:tcPr>
          <w:p w14:paraId="0970E7C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r>
      <w:tr w14:paraId="69F2B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9" w:hRule="atLeast"/>
          <w:jc w:val="center"/>
        </w:trPr>
        <w:tc>
          <w:tcPr>
            <w:tcW w:w="826" w:type="pct"/>
            <w:vMerge w:val="continue"/>
            <w:tcBorders>
              <w:tl2br w:val="nil"/>
              <w:tr2bl w:val="nil"/>
            </w:tcBorders>
            <w:shd w:val="clear" w:color="auto" w:fill="auto"/>
            <w:noWrap/>
            <w:vAlign w:val="center"/>
          </w:tcPr>
          <w:p w14:paraId="3024A653">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08" w:type="pct"/>
            <w:vMerge w:val="continue"/>
            <w:tcBorders>
              <w:tl2br w:val="nil"/>
              <w:tr2bl w:val="nil"/>
            </w:tcBorders>
            <w:shd w:val="clear" w:color="auto" w:fill="auto"/>
            <w:noWrap/>
            <w:vAlign w:val="center"/>
          </w:tcPr>
          <w:p w14:paraId="50466B5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040" w:type="pct"/>
            <w:vMerge w:val="continue"/>
            <w:tcBorders>
              <w:tl2br w:val="nil"/>
              <w:tr2bl w:val="nil"/>
            </w:tcBorders>
            <w:shd w:val="clear" w:color="auto" w:fill="auto"/>
            <w:noWrap/>
            <w:vAlign w:val="center"/>
          </w:tcPr>
          <w:p w14:paraId="7CDA0B64">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522" w:type="pct"/>
            <w:vMerge w:val="continue"/>
            <w:tcBorders>
              <w:tl2br w:val="nil"/>
              <w:tr2bl w:val="nil"/>
            </w:tcBorders>
            <w:shd w:val="clear" w:color="auto" w:fill="auto"/>
            <w:noWrap/>
            <w:vAlign w:val="center"/>
          </w:tcPr>
          <w:p w14:paraId="38E5F6AB">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512" w:type="pct"/>
            <w:tcBorders>
              <w:tl2br w:val="nil"/>
              <w:tr2bl w:val="nil"/>
            </w:tcBorders>
            <w:shd w:val="clear" w:color="auto" w:fill="auto"/>
            <w:vAlign w:val="center"/>
          </w:tcPr>
          <w:p w14:paraId="2113BC0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工作人员满意度</w:t>
            </w:r>
          </w:p>
        </w:tc>
        <w:tc>
          <w:tcPr>
            <w:tcW w:w="589" w:type="pct"/>
            <w:tcBorders>
              <w:tl2br w:val="nil"/>
              <w:tr2bl w:val="nil"/>
            </w:tcBorders>
            <w:shd w:val="clear" w:color="auto" w:fill="auto"/>
            <w:noWrap/>
            <w:vAlign w:val="center"/>
          </w:tcPr>
          <w:p w14:paraId="36DF29B2">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54AB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4" w:hRule="atLeast"/>
          <w:jc w:val="center"/>
        </w:trPr>
        <w:tc>
          <w:tcPr>
            <w:tcW w:w="826" w:type="pct"/>
            <w:tcBorders>
              <w:tl2br w:val="nil"/>
              <w:tr2bl w:val="nil"/>
            </w:tcBorders>
            <w:shd w:val="clear" w:color="auto" w:fill="auto"/>
            <w:noWrap/>
            <w:vAlign w:val="center"/>
          </w:tcPr>
          <w:p w14:paraId="04F0CFF0">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508" w:type="pct"/>
            <w:tcBorders>
              <w:tl2br w:val="nil"/>
              <w:tr2bl w:val="nil"/>
            </w:tcBorders>
            <w:shd w:val="clear" w:color="auto" w:fill="auto"/>
            <w:noWrap/>
            <w:vAlign w:val="center"/>
          </w:tcPr>
          <w:p w14:paraId="0BA7DF3D">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040" w:type="pct"/>
            <w:tcBorders>
              <w:tl2br w:val="nil"/>
              <w:tr2bl w:val="nil"/>
            </w:tcBorders>
            <w:shd w:val="clear" w:color="auto" w:fill="auto"/>
            <w:noWrap/>
            <w:vAlign w:val="center"/>
          </w:tcPr>
          <w:p w14:paraId="64CCCDEC">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p>
        </w:tc>
        <w:tc>
          <w:tcPr>
            <w:tcW w:w="522" w:type="pct"/>
            <w:tcBorders>
              <w:tl2br w:val="nil"/>
              <w:tr2bl w:val="nil"/>
            </w:tcBorders>
            <w:shd w:val="clear" w:color="auto" w:fill="auto"/>
            <w:noWrap/>
            <w:vAlign w:val="center"/>
          </w:tcPr>
          <w:p w14:paraId="2B161C37">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512" w:type="pct"/>
            <w:tcBorders>
              <w:tl2br w:val="nil"/>
              <w:tr2bl w:val="nil"/>
            </w:tcBorders>
            <w:shd w:val="clear" w:color="auto" w:fill="auto"/>
            <w:vAlign w:val="center"/>
          </w:tcPr>
          <w:p w14:paraId="49F520DE">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p>
        </w:tc>
        <w:tc>
          <w:tcPr>
            <w:tcW w:w="589" w:type="pct"/>
            <w:tcBorders>
              <w:tl2br w:val="nil"/>
              <w:tr2bl w:val="nil"/>
            </w:tcBorders>
            <w:shd w:val="clear" w:color="auto" w:fill="auto"/>
            <w:noWrap/>
            <w:vAlign w:val="center"/>
          </w:tcPr>
          <w:p w14:paraId="15FD203F">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r>
    </w:tbl>
    <w:p w14:paraId="466F61BA">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30" w:name="_Toc1556"/>
      <w:bookmarkStart w:id="31" w:name="_Toc26369"/>
      <w:bookmarkStart w:id="32" w:name="_Toc6401"/>
      <w:bookmarkStart w:id="33" w:name="_Toc24163"/>
      <w:r>
        <w:rPr>
          <w:rFonts w:hint="eastAsia" w:ascii="Times New Roman" w:hAnsi="Times New Roman" w:eastAsia="宋体" w:cs="宋体"/>
          <w:bCs/>
          <w:sz w:val="28"/>
          <w:szCs w:val="28"/>
          <w:highlight w:val="none"/>
          <w:lang w:val="en-US" w:eastAsia="zh-CN"/>
        </w:rPr>
        <w:t>（二）评价组织实施</w:t>
      </w:r>
      <w:bookmarkEnd w:id="30"/>
      <w:bookmarkEnd w:id="31"/>
      <w:bookmarkEnd w:id="32"/>
      <w:bookmarkEnd w:id="33"/>
    </w:p>
    <w:p w14:paraId="100E3344">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1、前期准备</w:t>
      </w:r>
    </w:p>
    <w:p w14:paraId="34DA77CB">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sz w:val="28"/>
          <w:szCs w:val="28"/>
          <w:highlight w:val="none"/>
          <w:lang w:eastAsia="zh-CN"/>
        </w:rPr>
      </w:pPr>
      <w:r>
        <w:rPr>
          <w:rFonts w:hint="eastAsia" w:ascii="Times New Roman" w:hAnsi="Times New Roman" w:eastAsia="宋体" w:cs="宋体"/>
          <w:sz w:val="28"/>
          <w:szCs w:val="28"/>
          <w:highlight w:val="none"/>
          <w:lang w:val="en-US"/>
        </w:rPr>
        <w:t>结合</w:t>
      </w:r>
      <w:r>
        <w:rPr>
          <w:rFonts w:hint="eastAsia" w:ascii="Times New Roman" w:hAnsi="Times New Roman" w:eastAsia="宋体" w:cs="宋体"/>
          <w:sz w:val="28"/>
          <w:szCs w:val="28"/>
          <w:highlight w:val="none"/>
          <w:lang w:val="en-US" w:eastAsia="zh-CN"/>
        </w:rPr>
        <w:t>项目</w:t>
      </w:r>
      <w:r>
        <w:rPr>
          <w:rFonts w:hint="eastAsia" w:ascii="Times New Roman" w:hAnsi="Times New Roman" w:eastAsia="宋体" w:cs="宋体"/>
          <w:sz w:val="28"/>
          <w:szCs w:val="28"/>
          <w:highlight w:val="none"/>
          <w:lang w:val="en-US"/>
        </w:rPr>
        <w:t>整体</w:t>
      </w:r>
      <w:r>
        <w:rPr>
          <w:rFonts w:hint="eastAsia" w:ascii="Times New Roman" w:hAnsi="Times New Roman" w:eastAsia="宋体" w:cs="宋体"/>
          <w:sz w:val="28"/>
          <w:szCs w:val="28"/>
          <w:highlight w:val="none"/>
          <w:lang w:val="en-US" w:eastAsia="zh-CN"/>
        </w:rPr>
        <w:t>评价</w:t>
      </w:r>
      <w:r>
        <w:rPr>
          <w:rFonts w:hint="eastAsia" w:ascii="Times New Roman" w:hAnsi="Times New Roman" w:eastAsia="宋体" w:cs="宋体"/>
          <w:sz w:val="28"/>
          <w:szCs w:val="28"/>
          <w:highlight w:val="none"/>
          <w:lang w:val="en-US"/>
        </w:rPr>
        <w:t>核心要点，</w:t>
      </w:r>
      <w:r>
        <w:rPr>
          <w:rFonts w:hint="eastAsia" w:ascii="Times New Roman" w:hAnsi="Times New Roman" w:eastAsia="宋体" w:cs="宋体"/>
          <w:i w:val="0"/>
          <w:iCs w:val="0"/>
          <w:color w:val="000000"/>
          <w:spacing w:val="0"/>
          <w:sz w:val="28"/>
          <w:szCs w:val="28"/>
          <w:highlight w:val="none"/>
          <w:vertAlign w:val="baseline"/>
        </w:rPr>
        <w:t>明确</w:t>
      </w:r>
      <w:r>
        <w:rPr>
          <w:rFonts w:hint="eastAsia" w:ascii="Times New Roman" w:hAnsi="Times New Roman" w:eastAsia="宋体" w:cs="宋体"/>
          <w:i w:val="0"/>
          <w:iCs w:val="0"/>
          <w:color w:val="000000"/>
          <w:spacing w:val="0"/>
          <w:sz w:val="28"/>
          <w:szCs w:val="28"/>
          <w:highlight w:val="none"/>
          <w:vertAlign w:val="baseline"/>
          <w:lang w:val="en-US" w:eastAsia="zh-CN"/>
        </w:rPr>
        <w:t>评价</w:t>
      </w:r>
      <w:r>
        <w:rPr>
          <w:rFonts w:hint="eastAsia" w:ascii="Times New Roman" w:hAnsi="Times New Roman" w:eastAsia="宋体" w:cs="宋体"/>
          <w:i w:val="0"/>
          <w:iCs w:val="0"/>
          <w:color w:val="000000"/>
          <w:spacing w:val="0"/>
          <w:sz w:val="28"/>
          <w:szCs w:val="28"/>
          <w:highlight w:val="none"/>
          <w:vertAlign w:val="baseline"/>
        </w:rPr>
        <w:t>关注点，</w:t>
      </w:r>
      <w:r>
        <w:rPr>
          <w:rFonts w:hint="eastAsia" w:ascii="Times New Roman" w:hAnsi="Times New Roman" w:eastAsia="宋体" w:cs="宋体"/>
          <w:i w:val="0"/>
          <w:iCs w:val="0"/>
          <w:color w:val="000000"/>
          <w:spacing w:val="0"/>
          <w:sz w:val="28"/>
          <w:szCs w:val="28"/>
          <w:highlight w:val="none"/>
          <w:vertAlign w:val="baseline"/>
          <w:lang w:val="en-US" w:eastAsia="zh-CN"/>
        </w:rPr>
        <w:t>同时</w:t>
      </w:r>
      <w:r>
        <w:rPr>
          <w:rFonts w:hint="eastAsia" w:ascii="Times New Roman" w:hAnsi="Times New Roman" w:eastAsia="宋体" w:cs="宋体"/>
          <w:i w:val="0"/>
          <w:iCs w:val="0"/>
          <w:color w:val="000000"/>
          <w:spacing w:val="0"/>
          <w:sz w:val="28"/>
          <w:szCs w:val="28"/>
          <w:highlight w:val="none"/>
          <w:vertAlign w:val="baseline"/>
        </w:rPr>
        <w:t>合理设置指标体系，确定需要收集的数据资料</w:t>
      </w:r>
      <w:r>
        <w:rPr>
          <w:rFonts w:hint="eastAsia" w:ascii="Times New Roman" w:hAnsi="Times New Roman" w:eastAsia="宋体" w:cs="宋体"/>
          <w:i w:val="0"/>
          <w:iCs w:val="0"/>
          <w:color w:val="000000"/>
          <w:spacing w:val="0"/>
          <w:sz w:val="28"/>
          <w:szCs w:val="28"/>
          <w:highlight w:val="none"/>
          <w:vertAlign w:val="baseline"/>
          <w:lang w:eastAsia="zh-CN"/>
        </w:rPr>
        <w:t>。</w:t>
      </w:r>
      <w:r>
        <w:rPr>
          <w:rFonts w:hint="eastAsia" w:ascii="Times New Roman" w:hAnsi="Times New Roman" w:eastAsia="宋体" w:cs="宋体"/>
          <w:i w:val="0"/>
          <w:iCs w:val="0"/>
          <w:color w:val="000000"/>
          <w:spacing w:val="0"/>
          <w:sz w:val="28"/>
          <w:szCs w:val="28"/>
          <w:highlight w:val="none"/>
          <w:vertAlign w:val="baseline"/>
        </w:rPr>
        <w:t>通过查阅相关政策制度，了解</w:t>
      </w:r>
      <w:r>
        <w:rPr>
          <w:rFonts w:hint="eastAsia" w:ascii="Times New Roman" w:hAnsi="Times New Roman" w:eastAsia="宋体" w:cs="宋体"/>
          <w:i w:val="0"/>
          <w:iCs w:val="0"/>
          <w:color w:val="000000"/>
          <w:spacing w:val="0"/>
          <w:sz w:val="28"/>
          <w:szCs w:val="28"/>
          <w:highlight w:val="none"/>
          <w:vertAlign w:val="baseline"/>
          <w:lang w:val="en-US" w:eastAsia="zh-CN"/>
        </w:rPr>
        <w:t>项目</w:t>
      </w:r>
      <w:r>
        <w:rPr>
          <w:rFonts w:hint="eastAsia" w:ascii="Times New Roman" w:hAnsi="Times New Roman" w:eastAsia="宋体" w:cs="宋体"/>
          <w:i w:val="0"/>
          <w:iCs w:val="0"/>
          <w:color w:val="000000"/>
          <w:spacing w:val="0"/>
          <w:sz w:val="28"/>
          <w:szCs w:val="28"/>
          <w:highlight w:val="none"/>
          <w:vertAlign w:val="baseline"/>
        </w:rPr>
        <w:t>基本情况</w:t>
      </w:r>
      <w:r>
        <w:rPr>
          <w:rFonts w:hint="eastAsia" w:ascii="Times New Roman" w:hAnsi="Times New Roman" w:eastAsia="宋体" w:cs="宋体"/>
          <w:i w:val="0"/>
          <w:iCs w:val="0"/>
          <w:color w:val="000000"/>
          <w:spacing w:val="0"/>
          <w:sz w:val="28"/>
          <w:szCs w:val="28"/>
          <w:highlight w:val="none"/>
          <w:vertAlign w:val="baseline"/>
          <w:lang w:eastAsia="zh-CN"/>
        </w:rPr>
        <w:t>，</w:t>
      </w:r>
      <w:r>
        <w:rPr>
          <w:rFonts w:hint="eastAsia" w:ascii="Times New Roman" w:hAnsi="Times New Roman" w:eastAsia="宋体" w:cs="宋体"/>
          <w:i w:val="0"/>
          <w:iCs w:val="0"/>
          <w:color w:val="000000"/>
          <w:spacing w:val="0"/>
          <w:sz w:val="28"/>
          <w:szCs w:val="28"/>
          <w:highlight w:val="none"/>
          <w:vertAlign w:val="baseline"/>
        </w:rPr>
        <w:t>明确资金拨付流程，分析各环节的时间节点和金额</w:t>
      </w:r>
      <w:r>
        <w:rPr>
          <w:rFonts w:hint="eastAsia" w:ascii="Times New Roman" w:hAnsi="Times New Roman" w:eastAsia="宋体" w:cs="宋体"/>
          <w:i w:val="0"/>
          <w:iCs w:val="0"/>
          <w:color w:val="000000"/>
          <w:spacing w:val="0"/>
          <w:sz w:val="28"/>
          <w:szCs w:val="28"/>
          <w:highlight w:val="none"/>
          <w:vertAlign w:val="baseline"/>
          <w:lang w:eastAsia="zh-CN"/>
        </w:rPr>
        <w:t>。</w:t>
      </w:r>
    </w:p>
    <w:p w14:paraId="716632F2">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2、基础数据收集</w:t>
      </w:r>
    </w:p>
    <w:p w14:paraId="06ECE1D7">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在前期准备的基础上，与甘肃省人民代表大会常务委员会项目主要负责部门及具体施工单位进行沟通，协商提供资金明细表、资金支付凭证、活动开展相关文件等信息。</w:t>
      </w:r>
    </w:p>
    <w:p w14:paraId="09094D5B">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3、资料信息汇总</w:t>
      </w:r>
    </w:p>
    <w:p w14:paraId="711028EA">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通过部分和单位配合，完成基础数据收集后对所提供的资料进行信息分解及汇总，为评价分析做准备。</w:t>
      </w:r>
    </w:p>
    <w:p w14:paraId="76428AA9">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4、评价分析</w:t>
      </w:r>
    </w:p>
    <w:p w14:paraId="6CE041B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在进行基础数据收集和资料汇总之后，将进行总体绩效目标完成情况分析以及各项指标完成情况分析，形成初步评价结论，包括评价结果、主要经验及做法、存在的问题和建议等。</w:t>
      </w:r>
    </w:p>
    <w:p w14:paraId="4691954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5、沟通反馈</w:t>
      </w:r>
    </w:p>
    <w:p w14:paraId="6DCC0936">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在进行评价分析后得出初步评价结论，将评价结论与评价单位进行沟通反馈，及时发现问题并整改。</w:t>
      </w:r>
    </w:p>
    <w:p w14:paraId="36A85CDF">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6、出具报告过程</w:t>
      </w:r>
    </w:p>
    <w:p w14:paraId="1E13560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根据评价需要，结合实际情况，甘肃省人民代表大会常务委员会2023年度省人大常委会会议费项目绩效评价报告主要包括以下内容：项目单位基本情况、项目概况、项目资金情况、绩效目标、评价目的、原则、方法、指标体系、指标分析、评价结论、主要经验及做法、存在的问题和建议等。按照绩效评价要求和规定的文本格式撰写评价报告。</w:t>
      </w:r>
    </w:p>
    <w:p w14:paraId="58EBCD2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jc w:val="both"/>
        <w:textAlignment w:val="auto"/>
        <w:outlineLvl w:val="0"/>
        <w:rPr>
          <w:rFonts w:hint="eastAsia" w:ascii="Times New Roman" w:hAnsi="Times New Roman" w:eastAsia="宋体" w:cs="宋体"/>
          <w:b/>
          <w:bCs/>
          <w:sz w:val="28"/>
          <w:szCs w:val="28"/>
          <w:highlight w:val="none"/>
          <w:lang w:val="en-US" w:eastAsia="zh-CN"/>
        </w:rPr>
      </w:pPr>
      <w:bookmarkStart w:id="34" w:name="_Toc15878"/>
      <w:bookmarkStart w:id="35" w:name="_Toc6908"/>
      <w:bookmarkStart w:id="36" w:name="_Toc13823"/>
      <w:bookmarkStart w:id="37" w:name="_Toc26413"/>
      <w:r>
        <w:rPr>
          <w:rFonts w:hint="eastAsia" w:ascii="Times New Roman" w:hAnsi="Times New Roman" w:eastAsia="宋体" w:cs="宋体"/>
          <w:b/>
          <w:bCs/>
          <w:sz w:val="28"/>
          <w:szCs w:val="28"/>
          <w:highlight w:val="none"/>
          <w:lang w:val="en-US" w:eastAsia="zh-CN"/>
        </w:rPr>
        <w:t>三、绩效评价分析</w:t>
      </w:r>
      <w:bookmarkEnd w:id="34"/>
      <w:bookmarkEnd w:id="35"/>
      <w:bookmarkEnd w:id="36"/>
      <w:bookmarkEnd w:id="37"/>
    </w:p>
    <w:p w14:paraId="65201CDB">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38" w:name="_Toc11958"/>
      <w:bookmarkStart w:id="39" w:name="_Toc9765"/>
      <w:bookmarkStart w:id="40" w:name="_Toc6875"/>
      <w:bookmarkStart w:id="41" w:name="_Toc8984"/>
      <w:r>
        <w:rPr>
          <w:rFonts w:hint="eastAsia" w:ascii="Times New Roman" w:hAnsi="Times New Roman" w:eastAsia="宋体" w:cs="宋体"/>
          <w:bCs/>
          <w:sz w:val="28"/>
          <w:szCs w:val="28"/>
          <w:highlight w:val="none"/>
          <w:lang w:val="en-US" w:eastAsia="zh-CN"/>
        </w:rPr>
        <w:t>（一）评价结果</w:t>
      </w:r>
      <w:bookmarkEnd w:id="38"/>
      <w:bookmarkEnd w:id="39"/>
      <w:bookmarkEnd w:id="40"/>
      <w:bookmarkEnd w:id="41"/>
    </w:p>
    <w:p w14:paraId="7C05E18E">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甘肃省人民代表大会常务委员会2023年度省人大常委会会议费项目绩效评价得分</w:t>
      </w:r>
      <w:r>
        <w:rPr>
          <w:rFonts w:hint="eastAsia" w:ascii="Times New Roman" w:hAnsi="Times New Roman" w:eastAsia="宋体" w:cs="宋体"/>
          <w:b/>
          <w:bCs/>
          <w:kern w:val="2"/>
          <w:sz w:val="28"/>
          <w:szCs w:val="28"/>
          <w:highlight w:val="none"/>
          <w:lang w:val="en-US" w:eastAsia="zh-CN" w:bidi="ar-SA"/>
        </w:rPr>
        <w:t>96.49</w:t>
      </w:r>
      <w:r>
        <w:rPr>
          <w:rFonts w:hint="eastAsia" w:ascii="Times New Roman" w:hAnsi="Times New Roman" w:eastAsia="宋体" w:cs="宋体"/>
          <w:kern w:val="2"/>
          <w:sz w:val="28"/>
          <w:szCs w:val="28"/>
          <w:highlight w:val="none"/>
          <w:lang w:val="en-US" w:eastAsia="zh-CN" w:bidi="ar-SA"/>
        </w:rPr>
        <w:t>分，评价结果为“</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p>
    <w:p w14:paraId="589F0045">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42" w:name="_Toc29422"/>
      <w:bookmarkStart w:id="43" w:name="_Toc7776"/>
      <w:bookmarkStart w:id="44" w:name="_Toc4663"/>
      <w:bookmarkStart w:id="45" w:name="_Toc31923"/>
      <w:r>
        <w:rPr>
          <w:rFonts w:hint="eastAsia" w:ascii="Times New Roman" w:hAnsi="Times New Roman" w:eastAsia="宋体" w:cs="宋体"/>
          <w:bCs/>
          <w:sz w:val="28"/>
          <w:szCs w:val="28"/>
          <w:highlight w:val="none"/>
          <w:lang w:val="en-US" w:eastAsia="zh-CN"/>
        </w:rPr>
        <w:t>（二）总体绩效目标完成情况分析</w:t>
      </w:r>
      <w:bookmarkEnd w:id="42"/>
      <w:bookmarkEnd w:id="43"/>
      <w:bookmarkEnd w:id="44"/>
      <w:bookmarkEnd w:id="45"/>
    </w:p>
    <w:p w14:paraId="369A269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color w:val="auto"/>
          <w:sz w:val="28"/>
          <w:szCs w:val="28"/>
          <w:highlight w:val="none"/>
          <w:lang w:eastAsia="zh-CN"/>
        </w:rPr>
      </w:pPr>
      <w:bookmarkStart w:id="46" w:name="_Toc4144"/>
      <w:r>
        <w:rPr>
          <w:rFonts w:hint="eastAsia" w:ascii="Times New Roman" w:hAnsi="Times New Roman" w:eastAsia="宋体" w:cs="宋体"/>
          <w:sz w:val="28"/>
          <w:szCs w:val="28"/>
          <w:highlight w:val="none"/>
        </w:rPr>
        <w:t>运用已论证的评价指标体系及评分标准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通过数据采集、问卷调查及访谈等方法</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对</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rPr>
        <w:t>情况进行客观评价</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最终结果：</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b w:val="0"/>
          <w:bCs w:val="0"/>
          <w:sz w:val="28"/>
          <w:szCs w:val="28"/>
          <w:highlight w:val="none"/>
        </w:rPr>
        <w:t>绩效</w:t>
      </w:r>
      <w:r>
        <w:rPr>
          <w:rFonts w:hint="eastAsia" w:ascii="Times New Roman" w:hAnsi="Times New Roman" w:eastAsia="宋体" w:cs="宋体"/>
          <w:b w:val="0"/>
          <w:bCs w:val="0"/>
          <w:sz w:val="28"/>
          <w:szCs w:val="28"/>
          <w:highlight w:val="none"/>
          <w:lang w:val="en-US" w:eastAsia="zh-CN"/>
        </w:rPr>
        <w:t>评价</w:t>
      </w:r>
      <w:r>
        <w:rPr>
          <w:rFonts w:hint="eastAsia" w:ascii="Times New Roman" w:hAnsi="Times New Roman" w:eastAsia="宋体" w:cs="宋体"/>
          <w:b w:val="0"/>
          <w:bCs w:val="0"/>
          <w:sz w:val="28"/>
          <w:szCs w:val="28"/>
          <w:highlight w:val="none"/>
        </w:rPr>
        <w:t>总得分为</w:t>
      </w:r>
      <w:r>
        <w:rPr>
          <w:rFonts w:hint="eastAsia" w:ascii="Times New Roman" w:hAnsi="Times New Roman" w:eastAsia="宋体" w:cs="宋体"/>
          <w:b/>
          <w:bCs/>
          <w:sz w:val="28"/>
          <w:szCs w:val="28"/>
          <w:highlight w:val="none"/>
          <w:lang w:val="en-US" w:eastAsia="zh-CN"/>
        </w:rPr>
        <w:t>96.49</w:t>
      </w:r>
      <w:r>
        <w:rPr>
          <w:rFonts w:hint="eastAsia" w:ascii="Times New Roman" w:hAnsi="Times New Roman" w:eastAsia="宋体" w:cs="宋体"/>
          <w:b w:val="0"/>
          <w:bCs w:val="0"/>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属于</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rPr>
        <w:t>。其中</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项目决策</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14.00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w:t>
      </w:r>
      <w:r>
        <w:rPr>
          <w:rFonts w:hint="eastAsia" w:ascii="Times New Roman" w:hAnsi="Times New Roman" w:eastAsia="宋体" w:cs="宋体"/>
          <w:b/>
          <w:bCs/>
          <w:sz w:val="28"/>
          <w:szCs w:val="28"/>
          <w:highlight w:val="none"/>
          <w:lang w:val="en-US" w:eastAsia="zh-CN"/>
        </w:rPr>
        <w:t>13.00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val="en-US" w:eastAsia="zh-CN"/>
        </w:rPr>
        <w:t>92.86%</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val="en-US" w:eastAsia="zh-CN"/>
        </w:rPr>
        <w:t>项目过程</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27.00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w:t>
      </w:r>
      <w:r>
        <w:rPr>
          <w:rFonts w:hint="eastAsia" w:ascii="Times New Roman" w:hAnsi="Times New Roman" w:eastAsia="宋体" w:cs="宋体"/>
          <w:b/>
          <w:bCs/>
          <w:sz w:val="28"/>
          <w:szCs w:val="28"/>
          <w:highlight w:val="none"/>
          <w:lang w:eastAsia="zh-CN"/>
        </w:rPr>
        <w:t>2</w:t>
      </w:r>
      <w:r>
        <w:rPr>
          <w:rFonts w:hint="eastAsia" w:ascii="Times New Roman" w:hAnsi="Times New Roman" w:eastAsia="宋体" w:cs="宋体"/>
          <w:b/>
          <w:bCs/>
          <w:sz w:val="28"/>
          <w:szCs w:val="28"/>
          <w:highlight w:val="none"/>
          <w:lang w:val="en-US" w:eastAsia="zh-CN"/>
        </w:rPr>
        <w:t>5.80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val="en-US" w:eastAsia="zh-CN"/>
        </w:rPr>
        <w:t>88.89%</w:t>
      </w:r>
      <w:r>
        <w:rPr>
          <w:rFonts w:hint="eastAsia" w:ascii="Times New Roman" w:hAnsi="Times New Roman" w:eastAsia="宋体" w:cs="宋体"/>
          <w:sz w:val="28"/>
          <w:szCs w:val="28"/>
          <w:highlight w:val="none"/>
        </w:rPr>
        <w:t>。</w:t>
      </w:r>
      <w:r>
        <w:rPr>
          <w:rFonts w:hint="eastAsia" w:ascii="Times New Roman" w:hAnsi="Times New Roman" w:eastAsia="宋体" w:cs="宋体"/>
          <w:sz w:val="28"/>
          <w:szCs w:val="28"/>
          <w:highlight w:val="none"/>
          <w:lang w:val="en-US" w:eastAsia="zh-CN"/>
        </w:rPr>
        <w:t>项目产出</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30.00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w:t>
      </w:r>
      <w:r>
        <w:rPr>
          <w:rFonts w:hint="eastAsia" w:ascii="Times New Roman" w:hAnsi="Times New Roman" w:eastAsia="宋体" w:cs="宋体"/>
          <w:b/>
          <w:bCs/>
          <w:sz w:val="28"/>
          <w:szCs w:val="28"/>
          <w:highlight w:val="none"/>
        </w:rPr>
        <w:t>为30</w:t>
      </w:r>
      <w:r>
        <w:rPr>
          <w:rFonts w:hint="eastAsia" w:ascii="Times New Roman" w:hAnsi="Times New Roman" w:eastAsia="宋体" w:cs="宋体"/>
          <w:b/>
          <w:bCs/>
          <w:sz w:val="28"/>
          <w:szCs w:val="28"/>
          <w:highlight w:val="none"/>
          <w:lang w:val="en-US" w:eastAsia="zh-CN"/>
        </w:rPr>
        <w:t>.00</w:t>
      </w:r>
      <w:r>
        <w:rPr>
          <w:rFonts w:hint="eastAsia" w:ascii="Times New Roman" w:hAnsi="Times New Roman" w:eastAsia="宋体" w:cs="宋体"/>
          <w:sz w:val="28"/>
          <w:szCs w:val="28"/>
          <w:highlight w:val="none"/>
        </w:rPr>
        <w:t>分</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得分率为</w:t>
      </w:r>
      <w:r>
        <w:rPr>
          <w:rFonts w:hint="eastAsia" w:ascii="Times New Roman" w:hAnsi="Times New Roman" w:eastAsia="宋体" w:cs="宋体"/>
          <w:b/>
          <w:bCs/>
          <w:sz w:val="28"/>
          <w:szCs w:val="28"/>
          <w:highlight w:val="none"/>
          <w:lang w:eastAsia="zh-CN"/>
        </w:rPr>
        <w:t>100</w:t>
      </w:r>
      <w:r>
        <w:rPr>
          <w:rFonts w:hint="eastAsia" w:ascii="Times New Roman" w:hAnsi="Times New Roman" w:eastAsia="宋体" w:cs="宋体"/>
          <w:b/>
          <w:bCs/>
          <w:sz w:val="28"/>
          <w:szCs w:val="28"/>
          <w:highlight w:val="none"/>
          <w:lang w:val="en-US" w:eastAsia="zh-CN"/>
        </w:rPr>
        <w:t>%</w:t>
      </w:r>
      <w:r>
        <w:rPr>
          <w:rFonts w:hint="eastAsia" w:ascii="Times New Roman" w:hAnsi="Times New Roman" w:eastAsia="宋体" w:cs="宋体"/>
          <w:sz w:val="28"/>
          <w:szCs w:val="28"/>
          <w:highlight w:val="none"/>
        </w:rPr>
        <w:t>。</w:t>
      </w:r>
      <w:bookmarkEnd w:id="46"/>
      <w:r>
        <w:rPr>
          <w:rFonts w:hint="eastAsia" w:ascii="Times New Roman" w:hAnsi="Times New Roman" w:eastAsia="宋体" w:cs="宋体"/>
          <w:sz w:val="28"/>
          <w:szCs w:val="28"/>
          <w:highlight w:val="none"/>
        </w:rPr>
        <w:t>项目</w:t>
      </w:r>
      <w:r>
        <w:rPr>
          <w:rFonts w:hint="eastAsia" w:ascii="Times New Roman" w:hAnsi="Times New Roman" w:eastAsia="宋体" w:cs="宋体"/>
          <w:sz w:val="28"/>
          <w:szCs w:val="28"/>
          <w:highlight w:val="none"/>
          <w:lang w:val="en-US" w:eastAsia="zh-CN"/>
        </w:rPr>
        <w:t>效果</w:t>
      </w:r>
      <w:r>
        <w:rPr>
          <w:rFonts w:hint="eastAsia" w:ascii="Times New Roman" w:hAnsi="Times New Roman" w:eastAsia="宋体" w:cs="宋体"/>
          <w:sz w:val="28"/>
          <w:szCs w:val="28"/>
          <w:highlight w:val="none"/>
        </w:rPr>
        <w:t>类指标权重为</w:t>
      </w:r>
      <w:r>
        <w:rPr>
          <w:rFonts w:hint="eastAsia" w:ascii="Times New Roman" w:hAnsi="Times New Roman" w:eastAsia="宋体" w:cs="宋体"/>
          <w:sz w:val="28"/>
          <w:szCs w:val="28"/>
          <w:highlight w:val="none"/>
          <w:lang w:val="en-US" w:eastAsia="zh-CN"/>
        </w:rPr>
        <w:t>29.00</w:t>
      </w:r>
      <w:r>
        <w:rPr>
          <w:rFonts w:hint="eastAsia" w:ascii="Times New Roman" w:hAnsi="Times New Roman" w:eastAsia="宋体" w:cs="宋体"/>
          <w:sz w:val="28"/>
          <w:szCs w:val="28"/>
          <w:highlight w:val="none"/>
        </w:rPr>
        <w:t>分，得分为</w:t>
      </w:r>
      <w:r>
        <w:rPr>
          <w:rFonts w:hint="eastAsia" w:ascii="Times New Roman" w:hAnsi="Times New Roman" w:eastAsia="宋体" w:cs="宋体"/>
          <w:b/>
          <w:bCs/>
          <w:sz w:val="28"/>
          <w:szCs w:val="28"/>
          <w:highlight w:val="none"/>
          <w:lang w:val="en-US" w:eastAsia="zh-CN"/>
        </w:rPr>
        <w:t>27.69</w:t>
      </w:r>
      <w:r>
        <w:rPr>
          <w:rFonts w:hint="eastAsia" w:ascii="Times New Roman" w:hAnsi="Times New Roman" w:eastAsia="宋体" w:cs="宋体"/>
          <w:sz w:val="28"/>
          <w:szCs w:val="28"/>
          <w:highlight w:val="none"/>
        </w:rPr>
        <w:t>分，得分率为</w:t>
      </w:r>
      <w:r>
        <w:rPr>
          <w:rFonts w:hint="eastAsia" w:ascii="Times New Roman" w:hAnsi="Times New Roman" w:eastAsia="宋体" w:cs="宋体"/>
          <w:b/>
          <w:bCs/>
          <w:sz w:val="28"/>
          <w:szCs w:val="28"/>
          <w:highlight w:val="none"/>
          <w:lang w:val="en-US" w:eastAsia="zh-CN"/>
        </w:rPr>
        <w:t>95.48%</w:t>
      </w:r>
      <w:r>
        <w:rPr>
          <w:rFonts w:hint="eastAsia" w:ascii="Times New Roman" w:hAnsi="Times New Roman" w:eastAsia="宋体" w:cs="宋体"/>
          <w:sz w:val="28"/>
          <w:szCs w:val="28"/>
          <w:highlight w:val="none"/>
        </w:rPr>
        <w:t>。具</w:t>
      </w:r>
      <w:r>
        <w:rPr>
          <w:rFonts w:hint="eastAsia" w:ascii="Times New Roman" w:hAnsi="Times New Roman" w:eastAsia="宋体" w:cs="宋体"/>
          <w:color w:val="auto"/>
          <w:sz w:val="28"/>
          <w:szCs w:val="28"/>
          <w:highlight w:val="none"/>
        </w:rPr>
        <w:t>体得分情况见表3-1</w:t>
      </w:r>
      <w:r>
        <w:rPr>
          <w:rFonts w:hint="eastAsia" w:ascii="Times New Roman" w:hAnsi="Times New Roman" w:eastAsia="宋体" w:cs="宋体"/>
          <w:color w:val="auto"/>
          <w:sz w:val="28"/>
          <w:szCs w:val="28"/>
          <w:highlight w:val="none"/>
          <w:lang w:eastAsia="zh-CN"/>
        </w:rPr>
        <w:t>：</w:t>
      </w:r>
    </w:p>
    <w:p w14:paraId="71998243">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b/>
          <w:color w:val="000000"/>
          <w:sz w:val="24"/>
          <w:szCs w:val="24"/>
          <w:highlight w:val="none"/>
        </w:rPr>
        <w:t xml:space="preserve">表3-1 </w:t>
      </w:r>
      <w:r>
        <w:rPr>
          <w:rFonts w:hint="eastAsia" w:ascii="Times New Roman" w:hAnsi="Times New Roman" w:eastAsia="宋体" w:cs="宋体"/>
          <w:b/>
          <w:bCs/>
          <w:kern w:val="0"/>
          <w:sz w:val="24"/>
          <w:szCs w:val="24"/>
          <w:highlight w:val="none"/>
          <w:lang w:val="en-US" w:eastAsia="zh-CN"/>
        </w:rPr>
        <w:t>甘肃省人民代表大会常务委员会2023年度省人大常委会会议费项目</w:t>
      </w:r>
      <w:r>
        <w:rPr>
          <w:rFonts w:hint="eastAsia" w:ascii="Times New Roman" w:hAnsi="Times New Roman" w:eastAsia="宋体" w:cs="宋体"/>
          <w:b/>
          <w:color w:val="000000"/>
          <w:sz w:val="24"/>
          <w:szCs w:val="24"/>
          <w:highlight w:val="none"/>
        </w:rPr>
        <w:t>绩效</w:t>
      </w:r>
      <w:r>
        <w:rPr>
          <w:rFonts w:hint="eastAsia" w:ascii="Times New Roman" w:hAnsi="Times New Roman" w:eastAsia="宋体" w:cs="宋体"/>
          <w:b/>
          <w:color w:val="000000"/>
          <w:sz w:val="24"/>
          <w:szCs w:val="24"/>
          <w:highlight w:val="none"/>
          <w:lang w:val="en-US" w:eastAsia="zh-CN"/>
        </w:rPr>
        <w:t>评价</w:t>
      </w:r>
      <w:r>
        <w:rPr>
          <w:rFonts w:hint="eastAsia" w:ascii="Times New Roman" w:hAnsi="Times New Roman" w:eastAsia="宋体" w:cs="宋体"/>
          <w:b/>
          <w:color w:val="000000"/>
          <w:sz w:val="24"/>
          <w:szCs w:val="24"/>
          <w:highlight w:val="none"/>
        </w:rPr>
        <w:t>评分总表</w:t>
      </w:r>
    </w:p>
    <w:tbl>
      <w:tblPr>
        <w:tblStyle w:val="13"/>
        <w:tblW w:w="49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1"/>
        <w:gridCol w:w="1768"/>
        <w:gridCol w:w="1768"/>
        <w:gridCol w:w="1769"/>
      </w:tblGrid>
      <w:tr w14:paraId="4393B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blHeader/>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13DC">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指标</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E52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权重</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34547">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得分</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A03C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得分率</w:t>
            </w:r>
          </w:p>
        </w:tc>
      </w:tr>
      <w:tr w14:paraId="1788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A0F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A项目决策</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F43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EC4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13.00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0ED8">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92.86%</w:t>
            </w:r>
          </w:p>
        </w:tc>
      </w:tr>
      <w:tr w14:paraId="5544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D44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B项目过程</w:t>
            </w:r>
          </w:p>
        </w:tc>
        <w:tc>
          <w:tcPr>
            <w:tcW w:w="10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4B00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D41A">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25.80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BAA8">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88.89%</w:t>
            </w:r>
          </w:p>
        </w:tc>
      </w:tr>
      <w:tr w14:paraId="6BC6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DF6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C项目产出</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A362">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E930">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eastAsia="zh-CN" w:bidi="ar"/>
              </w:rPr>
            </w:pPr>
            <w:r>
              <w:rPr>
                <w:rFonts w:hint="eastAsia" w:ascii="Times New Roman" w:hAnsi="Times New Roman" w:eastAsia="宋体" w:cs="宋体"/>
                <w:b w:val="0"/>
                <w:bCs w:val="0"/>
                <w:i w:val="0"/>
                <w:iCs w:val="0"/>
                <w:color w:val="000000"/>
                <w:kern w:val="0"/>
                <w:sz w:val="24"/>
                <w:szCs w:val="24"/>
                <w:highlight w:val="none"/>
                <w:u w:val="none"/>
                <w:lang w:eastAsia="zh-CN" w:bidi="ar"/>
              </w:rPr>
              <w:t>30.00</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F73">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100%</w:t>
            </w:r>
          </w:p>
        </w:tc>
      </w:tr>
      <w:tr w14:paraId="013F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0A44">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D项目效果</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B45E">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29.00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C52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27.69</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E440">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95.48%</w:t>
            </w:r>
          </w:p>
        </w:tc>
      </w:tr>
      <w:tr w14:paraId="4932B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trPr>
        <w:tc>
          <w:tcPr>
            <w:tcW w:w="1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8E86">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5A61">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100</w:t>
            </w:r>
          </w:p>
        </w:tc>
        <w:tc>
          <w:tcPr>
            <w:tcW w:w="10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21FF">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96.49</w:t>
            </w:r>
          </w:p>
        </w:tc>
        <w:tc>
          <w:tcPr>
            <w:tcW w:w="10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7629">
            <w:pPr>
              <w:keepNext w:val="0"/>
              <w:keepLines w:val="0"/>
              <w:pageBreakBefore w:val="0"/>
              <w:widowControl/>
              <w:suppressLineNumbers w:val="0"/>
              <w:kinsoku/>
              <w:wordWrap/>
              <w:overflowPunct/>
              <w:topLinePunct w:val="0"/>
              <w:autoSpaceDE/>
              <w:autoSpaceDN/>
              <w:bidi w:val="0"/>
              <w:snapToGrid w:val="0"/>
              <w:spacing w:line="500" w:lineRule="exact"/>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96.49%</w:t>
            </w:r>
          </w:p>
        </w:tc>
      </w:tr>
    </w:tbl>
    <w:p w14:paraId="4961801B">
      <w:pPr>
        <w:pStyle w:val="2"/>
        <w:keepNext w:val="0"/>
        <w:keepLines w:val="0"/>
        <w:pageBreakBefore w:val="0"/>
        <w:widowControl/>
        <w:kinsoku/>
        <w:wordWrap/>
        <w:overflowPunct/>
        <w:topLinePunct w:val="0"/>
        <w:autoSpaceDE/>
        <w:autoSpaceDN/>
        <w:bidi w:val="0"/>
        <w:adjustRightInd/>
        <w:snapToGrid/>
        <w:spacing w:line="600" w:lineRule="exact"/>
        <w:ind w:left="0" w:firstLine="562" w:firstLineChars="200"/>
        <w:jc w:val="both"/>
        <w:textAlignment w:val="auto"/>
        <w:rPr>
          <w:rFonts w:hint="eastAsia" w:ascii="Times New Roman" w:hAnsi="Times New Roman" w:eastAsia="宋体" w:cs="宋体"/>
          <w:bCs/>
          <w:sz w:val="28"/>
          <w:szCs w:val="28"/>
          <w:highlight w:val="none"/>
          <w:lang w:val="en-US" w:eastAsia="zh-CN"/>
        </w:rPr>
      </w:pPr>
      <w:bookmarkStart w:id="47" w:name="_Toc9162"/>
      <w:bookmarkStart w:id="48" w:name="_Toc1501"/>
      <w:bookmarkStart w:id="49" w:name="_Toc24079"/>
      <w:bookmarkStart w:id="50" w:name="_Toc15583"/>
      <w:r>
        <w:rPr>
          <w:rFonts w:hint="eastAsia" w:ascii="Times New Roman" w:hAnsi="Times New Roman" w:eastAsia="宋体" w:cs="宋体"/>
          <w:bCs/>
          <w:sz w:val="28"/>
          <w:szCs w:val="28"/>
          <w:highlight w:val="none"/>
          <w:lang w:val="en-US" w:eastAsia="zh-CN"/>
        </w:rPr>
        <w:t>（三）各项指标完成情况分析</w:t>
      </w:r>
      <w:bookmarkEnd w:id="47"/>
      <w:bookmarkEnd w:id="48"/>
      <w:bookmarkEnd w:id="49"/>
      <w:bookmarkEnd w:id="50"/>
    </w:p>
    <w:p w14:paraId="4585232D">
      <w:pPr>
        <w:keepNext/>
        <w:keepLines/>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2"/>
        <w:rPr>
          <w:rFonts w:hint="default" w:ascii="Times New Roman" w:hAnsi="Times New Roman" w:eastAsia="宋体" w:cs="宋体"/>
          <w:b/>
          <w:bCs/>
          <w:sz w:val="28"/>
          <w:szCs w:val="28"/>
          <w:highlight w:val="none"/>
          <w:lang w:val="en-US" w:eastAsia="zh-CN"/>
        </w:rPr>
      </w:pPr>
      <w:bookmarkStart w:id="51" w:name="_Toc27719"/>
      <w:bookmarkStart w:id="52" w:name="_Toc5298"/>
      <w:bookmarkStart w:id="53" w:name="_Toc4377"/>
      <w:bookmarkStart w:id="54" w:name="_Toc22301"/>
      <w:r>
        <w:rPr>
          <w:rFonts w:hint="eastAsia" w:ascii="Times New Roman" w:hAnsi="Times New Roman" w:eastAsia="宋体" w:cs="宋体"/>
          <w:b/>
          <w:bCs/>
          <w:sz w:val="28"/>
          <w:szCs w:val="28"/>
          <w:highlight w:val="none"/>
          <w:lang w:val="en-US" w:eastAsia="zh-CN"/>
        </w:rPr>
        <w:t>1、项目决策</w:t>
      </w:r>
      <w:bookmarkEnd w:id="51"/>
      <w:bookmarkEnd w:id="52"/>
      <w:bookmarkEnd w:id="53"/>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14</w:t>
      </w:r>
      <w:r>
        <w:rPr>
          <w:rFonts w:hint="eastAsia" w:ascii="Times New Roman" w:hAnsi="Times New Roman" w:eastAsia="宋体" w:cs="宋体"/>
          <w:b/>
          <w:bCs/>
          <w:sz w:val="28"/>
          <w:szCs w:val="28"/>
          <w:highlight w:val="none"/>
        </w:rPr>
        <w:t>分）</w:t>
      </w:r>
      <w:bookmarkEnd w:id="54"/>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lang w:val="en-US" w:eastAsia="zh-CN"/>
        </w:rPr>
        <w:t>-1分）</w:t>
      </w:r>
    </w:p>
    <w:p w14:paraId="25D2DB6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评价项目决策</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3-2</w:t>
      </w:r>
      <w:r>
        <w:rPr>
          <w:rFonts w:hint="eastAsia" w:ascii="Times New Roman" w:hAnsi="Times New Roman" w:eastAsia="宋体" w:cs="宋体"/>
          <w:sz w:val="28"/>
          <w:szCs w:val="28"/>
          <w:highlight w:val="none"/>
        </w:rPr>
        <w:t>所示：</w:t>
      </w:r>
    </w:p>
    <w:p w14:paraId="4BBD644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3-2</w:t>
      </w:r>
      <w:r>
        <w:rPr>
          <w:rFonts w:hint="eastAsia" w:ascii="Times New Roman" w:hAnsi="Times New Roman" w:eastAsia="宋体" w:cs="宋体"/>
          <w:b/>
          <w:bCs/>
          <w:sz w:val="24"/>
          <w:szCs w:val="24"/>
          <w:highlight w:val="none"/>
        </w:rPr>
        <w:t xml:space="preserve"> </w:t>
      </w:r>
      <w:r>
        <w:rPr>
          <w:rFonts w:hint="eastAsia" w:ascii="Times New Roman" w:hAnsi="Times New Roman" w:eastAsia="宋体" w:cs="宋体"/>
          <w:b/>
          <w:bCs/>
          <w:sz w:val="24"/>
          <w:szCs w:val="24"/>
          <w:highlight w:val="none"/>
          <w:lang w:val="en-US" w:eastAsia="zh-CN"/>
        </w:rPr>
        <w:t>项目决策</w:t>
      </w:r>
      <w:r>
        <w:rPr>
          <w:rFonts w:hint="eastAsia" w:ascii="Times New Roman" w:hAnsi="Times New Roman" w:eastAsia="宋体" w:cs="宋体"/>
          <w:b/>
          <w:bCs/>
          <w:sz w:val="24"/>
          <w:szCs w:val="24"/>
          <w:highlight w:val="none"/>
        </w:rPr>
        <w:t>类各项指标绩效</w:t>
      </w:r>
      <w:r>
        <w:rPr>
          <w:rFonts w:hint="eastAsia" w:ascii="Times New Roman" w:hAnsi="Times New Roman" w:eastAsia="宋体" w:cs="宋体"/>
          <w:b/>
          <w:bCs/>
          <w:sz w:val="24"/>
          <w:szCs w:val="24"/>
          <w:highlight w:val="none"/>
          <w:lang w:val="en-US" w:eastAsia="zh-CN"/>
        </w:rPr>
        <w:t>评价</w:t>
      </w:r>
      <w:r>
        <w:rPr>
          <w:rFonts w:hint="eastAsia" w:ascii="Times New Roman" w:hAnsi="Times New Roman" w:eastAsia="宋体" w:cs="宋体"/>
          <w:b/>
          <w:bCs/>
          <w:sz w:val="24"/>
          <w:szCs w:val="24"/>
          <w:highlight w:val="none"/>
        </w:rPr>
        <w:t>得分表</w:t>
      </w:r>
    </w:p>
    <w:tbl>
      <w:tblPr>
        <w:tblStyle w:val="13"/>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0"/>
        <w:gridCol w:w="780"/>
        <w:gridCol w:w="5"/>
        <w:gridCol w:w="1374"/>
        <w:gridCol w:w="772"/>
        <w:gridCol w:w="9"/>
        <w:gridCol w:w="2841"/>
        <w:gridCol w:w="9"/>
        <w:gridCol w:w="789"/>
        <w:gridCol w:w="772"/>
        <w:gridCol w:w="14"/>
      </w:tblGrid>
      <w:tr w14:paraId="71C5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706" w:type="pct"/>
            <w:shd w:val="clear" w:color="auto" w:fill="auto"/>
            <w:vAlign w:val="center"/>
          </w:tcPr>
          <w:p w14:paraId="4DF8D68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58" w:type="pct"/>
            <w:gridSpan w:val="2"/>
            <w:shd w:val="clear" w:color="auto" w:fill="auto"/>
            <w:vAlign w:val="center"/>
          </w:tcPr>
          <w:p w14:paraId="3E871F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01" w:type="pct"/>
            <w:shd w:val="clear" w:color="auto" w:fill="auto"/>
            <w:vAlign w:val="center"/>
          </w:tcPr>
          <w:p w14:paraId="78FC2FC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5" w:type="pct"/>
            <w:gridSpan w:val="2"/>
            <w:shd w:val="clear" w:color="auto" w:fill="auto"/>
            <w:vAlign w:val="center"/>
          </w:tcPr>
          <w:p w14:paraId="54A886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60" w:type="pct"/>
            <w:gridSpan w:val="2"/>
            <w:shd w:val="clear" w:color="auto" w:fill="auto"/>
            <w:vAlign w:val="center"/>
          </w:tcPr>
          <w:p w14:paraId="1A4AD2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0" w:type="pct"/>
            <w:shd w:val="clear" w:color="auto" w:fill="auto"/>
            <w:vAlign w:val="center"/>
          </w:tcPr>
          <w:p w14:paraId="09228F3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8" w:type="pct"/>
            <w:gridSpan w:val="2"/>
            <w:shd w:val="clear" w:color="auto" w:fill="auto"/>
            <w:noWrap/>
            <w:vAlign w:val="center"/>
          </w:tcPr>
          <w:p w14:paraId="5A02A4D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510C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restart"/>
            <w:shd w:val="clear" w:color="auto" w:fill="auto"/>
            <w:vAlign w:val="center"/>
          </w:tcPr>
          <w:p w14:paraId="0FDC2E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项目决策</w:t>
            </w:r>
          </w:p>
        </w:tc>
        <w:tc>
          <w:tcPr>
            <w:tcW w:w="455" w:type="pct"/>
            <w:vMerge w:val="restart"/>
            <w:shd w:val="clear" w:color="auto" w:fill="auto"/>
            <w:vAlign w:val="center"/>
          </w:tcPr>
          <w:p w14:paraId="149AF0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rPr>
              <w:t>1</w:t>
            </w:r>
            <w:r>
              <w:rPr>
                <w:rFonts w:hint="eastAsia" w:ascii="Times New Roman" w:hAnsi="Times New Roman" w:eastAsia="宋体" w:cs="宋体"/>
                <w:b w:val="0"/>
                <w:bCs w:val="0"/>
                <w:kern w:val="0"/>
                <w:sz w:val="24"/>
                <w:szCs w:val="24"/>
                <w:highlight w:val="none"/>
                <w:lang w:val="en-US" w:eastAsia="zh-CN"/>
              </w:rPr>
              <w:t>4</w:t>
            </w:r>
          </w:p>
        </w:tc>
        <w:tc>
          <w:tcPr>
            <w:tcW w:w="803" w:type="pct"/>
            <w:gridSpan w:val="2"/>
            <w:vMerge w:val="restart"/>
            <w:shd w:val="clear" w:color="auto" w:fill="auto"/>
            <w:vAlign w:val="center"/>
          </w:tcPr>
          <w:p w14:paraId="1808DC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项目立项</w:t>
            </w:r>
          </w:p>
        </w:tc>
        <w:tc>
          <w:tcPr>
            <w:tcW w:w="450" w:type="pct"/>
            <w:vMerge w:val="restart"/>
            <w:shd w:val="clear" w:color="auto" w:fill="auto"/>
            <w:vAlign w:val="center"/>
          </w:tcPr>
          <w:p w14:paraId="1BFA72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4</w:t>
            </w:r>
          </w:p>
        </w:tc>
        <w:tc>
          <w:tcPr>
            <w:tcW w:w="1660" w:type="pct"/>
            <w:gridSpan w:val="2"/>
            <w:shd w:val="clear" w:color="auto" w:fill="auto"/>
            <w:vAlign w:val="center"/>
          </w:tcPr>
          <w:p w14:paraId="51EAC5C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r>
              <w:rPr>
                <w:rFonts w:hint="eastAsia" w:ascii="Times New Roman" w:hAnsi="Times New Roman" w:eastAsia="宋体" w:cs="宋体"/>
                <w:b w:val="0"/>
                <w:bCs w:val="0"/>
                <w:kern w:val="0"/>
                <w:sz w:val="24"/>
                <w:szCs w:val="24"/>
                <w:highlight w:val="none"/>
                <w:lang w:val="en-US" w:eastAsia="zh-CN"/>
              </w:rPr>
              <w:t>立项依据充分性</w:t>
            </w:r>
          </w:p>
        </w:tc>
        <w:tc>
          <w:tcPr>
            <w:tcW w:w="465" w:type="pct"/>
            <w:gridSpan w:val="2"/>
            <w:shd w:val="clear" w:color="auto" w:fill="auto"/>
            <w:vAlign w:val="center"/>
          </w:tcPr>
          <w:p w14:paraId="1EC626F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5B682CB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587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3750E80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54D2F3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continue"/>
            <w:shd w:val="clear" w:color="auto" w:fill="auto"/>
            <w:vAlign w:val="center"/>
          </w:tcPr>
          <w:p w14:paraId="3E4E82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0" w:type="pct"/>
            <w:vMerge w:val="continue"/>
            <w:shd w:val="clear" w:color="auto" w:fill="auto"/>
            <w:vAlign w:val="center"/>
          </w:tcPr>
          <w:p w14:paraId="6862360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60" w:type="pct"/>
            <w:gridSpan w:val="2"/>
            <w:shd w:val="clear" w:color="auto" w:fill="auto"/>
            <w:vAlign w:val="center"/>
          </w:tcPr>
          <w:p w14:paraId="4D5BB3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立项程序规范性</w:t>
            </w:r>
          </w:p>
        </w:tc>
        <w:tc>
          <w:tcPr>
            <w:tcW w:w="465" w:type="pct"/>
            <w:gridSpan w:val="2"/>
            <w:shd w:val="clear" w:color="auto" w:fill="auto"/>
            <w:vAlign w:val="center"/>
          </w:tcPr>
          <w:p w14:paraId="3BE9836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21943D2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B00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6D278CA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737DD8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restart"/>
            <w:shd w:val="clear" w:color="auto" w:fill="auto"/>
            <w:vAlign w:val="center"/>
          </w:tcPr>
          <w:p w14:paraId="48A96FD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绩效目标</w:t>
            </w:r>
          </w:p>
        </w:tc>
        <w:tc>
          <w:tcPr>
            <w:tcW w:w="450" w:type="pct"/>
            <w:vMerge w:val="restart"/>
            <w:shd w:val="clear" w:color="auto" w:fill="auto"/>
            <w:vAlign w:val="center"/>
          </w:tcPr>
          <w:p w14:paraId="46C2EBD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5</w:t>
            </w:r>
          </w:p>
        </w:tc>
        <w:tc>
          <w:tcPr>
            <w:tcW w:w="1660" w:type="pct"/>
            <w:gridSpan w:val="2"/>
            <w:shd w:val="clear" w:color="auto" w:fill="auto"/>
            <w:vAlign w:val="center"/>
          </w:tcPr>
          <w:p w14:paraId="4856038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绩效目标合理性</w:t>
            </w:r>
          </w:p>
        </w:tc>
        <w:tc>
          <w:tcPr>
            <w:tcW w:w="465" w:type="pct"/>
            <w:gridSpan w:val="2"/>
            <w:shd w:val="clear" w:color="auto" w:fill="auto"/>
            <w:vAlign w:val="center"/>
          </w:tcPr>
          <w:p w14:paraId="1ECD41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757FDAF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735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17B646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2AC67E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continue"/>
            <w:shd w:val="clear" w:color="auto" w:fill="auto"/>
            <w:vAlign w:val="center"/>
          </w:tcPr>
          <w:p w14:paraId="657C8F2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0" w:type="pct"/>
            <w:vMerge w:val="continue"/>
            <w:shd w:val="clear" w:color="auto" w:fill="auto"/>
            <w:vAlign w:val="center"/>
          </w:tcPr>
          <w:p w14:paraId="77F559E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1660" w:type="pct"/>
            <w:gridSpan w:val="2"/>
            <w:shd w:val="clear" w:color="auto" w:fill="auto"/>
            <w:vAlign w:val="center"/>
          </w:tcPr>
          <w:p w14:paraId="2EAAACA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绩效指标明确性</w:t>
            </w:r>
          </w:p>
        </w:tc>
        <w:tc>
          <w:tcPr>
            <w:tcW w:w="465" w:type="pct"/>
            <w:gridSpan w:val="2"/>
            <w:shd w:val="clear" w:color="auto" w:fill="auto"/>
            <w:vAlign w:val="center"/>
          </w:tcPr>
          <w:p w14:paraId="171E8E5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c>
          <w:tcPr>
            <w:tcW w:w="450" w:type="pct"/>
            <w:shd w:val="clear" w:color="auto" w:fill="auto"/>
            <w:noWrap/>
            <w:vAlign w:val="center"/>
          </w:tcPr>
          <w:p w14:paraId="6F0A75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3C660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7A31AB8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506FEF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restart"/>
            <w:shd w:val="clear" w:color="auto" w:fill="auto"/>
            <w:vAlign w:val="center"/>
          </w:tcPr>
          <w:p w14:paraId="65FAD08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资金投入</w:t>
            </w:r>
          </w:p>
        </w:tc>
        <w:tc>
          <w:tcPr>
            <w:tcW w:w="450" w:type="pct"/>
            <w:vMerge w:val="restart"/>
            <w:shd w:val="clear" w:color="auto" w:fill="auto"/>
            <w:vAlign w:val="center"/>
          </w:tcPr>
          <w:p w14:paraId="15FCDE6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5</w:t>
            </w:r>
          </w:p>
        </w:tc>
        <w:tc>
          <w:tcPr>
            <w:tcW w:w="1660" w:type="pct"/>
            <w:gridSpan w:val="2"/>
            <w:shd w:val="clear" w:color="auto" w:fill="auto"/>
            <w:vAlign w:val="center"/>
          </w:tcPr>
          <w:p w14:paraId="082F47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预算编制科学性</w:t>
            </w:r>
          </w:p>
        </w:tc>
        <w:tc>
          <w:tcPr>
            <w:tcW w:w="465" w:type="pct"/>
            <w:gridSpan w:val="2"/>
            <w:shd w:val="clear" w:color="auto" w:fill="auto"/>
            <w:vAlign w:val="center"/>
          </w:tcPr>
          <w:p w14:paraId="090A401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c>
          <w:tcPr>
            <w:tcW w:w="450" w:type="pct"/>
            <w:shd w:val="clear" w:color="auto" w:fill="auto"/>
            <w:noWrap/>
            <w:vAlign w:val="center"/>
          </w:tcPr>
          <w:p w14:paraId="192C3D9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r>
      <w:tr w14:paraId="517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69" w:hRule="atLeast"/>
        </w:trPr>
        <w:tc>
          <w:tcPr>
            <w:tcW w:w="706" w:type="pct"/>
            <w:vMerge w:val="continue"/>
            <w:shd w:val="clear" w:color="auto" w:fill="auto"/>
            <w:vAlign w:val="center"/>
          </w:tcPr>
          <w:p w14:paraId="0CD6A5B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5" w:type="pct"/>
            <w:vMerge w:val="continue"/>
            <w:shd w:val="clear" w:color="auto" w:fill="auto"/>
            <w:vAlign w:val="center"/>
          </w:tcPr>
          <w:p w14:paraId="7413EA4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803" w:type="pct"/>
            <w:gridSpan w:val="2"/>
            <w:vMerge w:val="continue"/>
            <w:shd w:val="clear" w:color="auto" w:fill="auto"/>
            <w:vAlign w:val="center"/>
          </w:tcPr>
          <w:p w14:paraId="3D11C84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450" w:type="pct"/>
            <w:vMerge w:val="continue"/>
            <w:shd w:val="clear" w:color="auto" w:fill="auto"/>
            <w:vAlign w:val="center"/>
          </w:tcPr>
          <w:p w14:paraId="73481AD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rPr>
            </w:pPr>
          </w:p>
        </w:tc>
        <w:tc>
          <w:tcPr>
            <w:tcW w:w="1660" w:type="pct"/>
            <w:gridSpan w:val="2"/>
            <w:shd w:val="clear" w:color="auto" w:fill="auto"/>
            <w:vAlign w:val="center"/>
          </w:tcPr>
          <w:p w14:paraId="3240152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资金分配合理性</w:t>
            </w:r>
          </w:p>
        </w:tc>
        <w:tc>
          <w:tcPr>
            <w:tcW w:w="465" w:type="pct"/>
            <w:gridSpan w:val="2"/>
            <w:shd w:val="clear" w:color="auto" w:fill="auto"/>
            <w:vAlign w:val="center"/>
          </w:tcPr>
          <w:p w14:paraId="0A40FE1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0" w:type="pct"/>
            <w:shd w:val="clear" w:color="auto" w:fill="auto"/>
            <w:noWrap/>
            <w:vAlign w:val="center"/>
          </w:tcPr>
          <w:p w14:paraId="052517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0D8C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pct"/>
          <w:trHeight w:val="383" w:hRule="atLeast"/>
        </w:trPr>
        <w:tc>
          <w:tcPr>
            <w:tcW w:w="4076" w:type="pct"/>
            <w:gridSpan w:val="7"/>
            <w:shd w:val="clear" w:color="auto" w:fill="auto"/>
            <w:noWrap/>
            <w:vAlign w:val="center"/>
          </w:tcPr>
          <w:p w14:paraId="1C59200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合计</w:t>
            </w:r>
          </w:p>
        </w:tc>
        <w:tc>
          <w:tcPr>
            <w:tcW w:w="465" w:type="pct"/>
            <w:gridSpan w:val="2"/>
            <w:shd w:val="clear" w:color="auto" w:fill="auto"/>
            <w:noWrap/>
            <w:vAlign w:val="center"/>
          </w:tcPr>
          <w:p w14:paraId="3F873DA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kern w:val="0"/>
                <w:sz w:val="24"/>
                <w:szCs w:val="24"/>
                <w:highlight w:val="none"/>
              </w:rPr>
              <w:t>1</w:t>
            </w:r>
            <w:r>
              <w:rPr>
                <w:rFonts w:hint="eastAsia" w:ascii="Times New Roman" w:hAnsi="Times New Roman" w:eastAsia="宋体" w:cs="宋体"/>
                <w:b/>
                <w:bCs/>
                <w:kern w:val="0"/>
                <w:sz w:val="24"/>
                <w:szCs w:val="24"/>
                <w:highlight w:val="none"/>
                <w:lang w:val="en-US" w:eastAsia="zh-CN"/>
              </w:rPr>
              <w:t>4</w:t>
            </w:r>
          </w:p>
        </w:tc>
        <w:tc>
          <w:tcPr>
            <w:tcW w:w="450" w:type="pct"/>
            <w:shd w:val="clear" w:color="auto" w:fill="auto"/>
            <w:noWrap/>
            <w:vAlign w:val="center"/>
          </w:tcPr>
          <w:p w14:paraId="53BC236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13</w:t>
            </w:r>
          </w:p>
        </w:tc>
      </w:tr>
    </w:tbl>
    <w:p w14:paraId="5D7C7CF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（1）项目立项</w:t>
      </w:r>
    </w:p>
    <w:p w14:paraId="41641B28">
      <w:pPr>
        <w:keepNext w:val="0"/>
        <w:keepLines w:val="0"/>
        <w:pageBreakBefore w:val="0"/>
        <w:widowControl/>
        <w:kinsoku/>
        <w:wordWrap/>
        <w:overflowPunct/>
        <w:topLinePunct w:val="0"/>
        <w:autoSpaceDE/>
        <w:autoSpaceDN/>
        <w:bidi w:val="0"/>
        <w:adjustRightInd/>
        <w:snapToGrid w:val="0"/>
        <w:spacing w:line="600" w:lineRule="exact"/>
        <w:ind w:left="0" w:firstLine="560" w:firstLineChars="200"/>
        <w:jc w:val="both"/>
        <w:textAlignment w:val="auto"/>
        <w:rPr>
          <w:rFonts w:hint="eastAsia" w:ascii="Times New Roman" w:hAnsi="Times New Roman" w:eastAsia="宋体" w:cs="宋体"/>
          <w:color w:val="auto"/>
          <w:kern w:val="0"/>
          <w:sz w:val="28"/>
          <w:szCs w:val="28"/>
          <w:highlight w:val="none"/>
          <w:lang w:val="en-US" w:eastAsia="zh-CN"/>
        </w:rPr>
      </w:pPr>
      <w:r>
        <w:rPr>
          <w:rFonts w:hint="eastAsia" w:ascii="Times New Roman" w:hAnsi="Times New Roman" w:eastAsia="宋体" w:cs="宋体"/>
          <w:color w:val="auto"/>
          <w:kern w:val="0"/>
          <w:sz w:val="28"/>
          <w:szCs w:val="28"/>
          <w:highlight w:val="none"/>
          <w:lang w:val="en-US" w:eastAsia="zh-CN"/>
        </w:rPr>
        <w:t>“立项依据充分性”指标分值2分，得分2分。</w:t>
      </w:r>
    </w:p>
    <w:p w14:paraId="0C2A8ED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立项符合国家法律法规、国民经济发展规划和相关政策；项目立项符合行业发展规划和政策要求；项目立项与部门职责范围相符，属于部门履职所需；项目属于公共财政支持范围，符合中央、地方事权支出责任划分原则；项目未与相关部门同类项目或部门内部相关项目重复。</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立项充分。综上所述，依据评分标准，该指标得2分。</w:t>
      </w:r>
    </w:p>
    <w:p w14:paraId="66526697">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color w:val="auto"/>
          <w:kern w:val="0"/>
          <w:sz w:val="28"/>
          <w:szCs w:val="28"/>
          <w:highlight w:val="none"/>
          <w:lang w:val="en-US" w:eastAsia="zh-CN"/>
        </w:rPr>
      </w:pPr>
      <w:r>
        <w:rPr>
          <w:rFonts w:hint="eastAsia" w:ascii="Times New Roman" w:hAnsi="Times New Roman" w:eastAsia="宋体" w:cs="宋体"/>
          <w:color w:val="auto"/>
          <w:kern w:val="0"/>
          <w:sz w:val="28"/>
          <w:szCs w:val="28"/>
          <w:highlight w:val="none"/>
          <w:lang w:val="en-US" w:eastAsia="zh-CN"/>
        </w:rPr>
        <w:t>“立项程序规范性”指标分值2分，得分2分。</w:t>
      </w:r>
    </w:p>
    <w:p w14:paraId="4236929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按照国家及省级规定的程序申请设立，项目审批文件、材料均符合相关要求，项目实施前期已经过必要的可行性研究、专家论证、风险评估、绩效评估、集体决策，因此本项目立项程序规范合理。综上所述，依据评分标准，该指标得2分。</w:t>
      </w:r>
    </w:p>
    <w:p w14:paraId="46E38193">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（2）绩效目标</w:t>
      </w:r>
    </w:p>
    <w:p w14:paraId="5528EBC2">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“绩效目标合理性”指标分值2分，得分2分。</w:t>
      </w:r>
    </w:p>
    <w:p w14:paraId="0B81EA32">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根据调查</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甘肃省人民代表大会常务委员会2023年度省人大常委会会议费项目资料，发现</w:t>
      </w:r>
      <w:r>
        <w:rPr>
          <w:rFonts w:hint="eastAsia" w:ascii="Times New Roman" w:hAnsi="Times New Roman" w:eastAsia="宋体" w:cs="宋体"/>
          <w:sz w:val="28"/>
          <w:szCs w:val="28"/>
          <w:highlight w:val="none"/>
          <w:lang w:val="en-US" w:eastAsia="zh-CN"/>
        </w:rPr>
        <w:t>项目设置了绩效目标；同时根据《财政部关于印发〈项目支出绩效评价管理办法〉的通知》（财预〔2020〕10号）和《甘肃省财政厅关于印发〈甘肃省省级预算绩效管理办法〉等6个办法和规程的通知》（甘财绩〔2020〕5号）的要求，项目所设的绩效目标与项目实际工作内容具有相关性；项目预期产出和效果符合正常的业绩水平；与预算确定的项目资金量相匹配。具体设置为：</w:t>
      </w:r>
      <w:r>
        <w:rPr>
          <w:rFonts w:hint="eastAsia" w:ascii="Times New Roman" w:hAnsi="Times New Roman" w:eastAsia="宋体" w:cs="宋体"/>
          <w:kern w:val="2"/>
          <w:sz w:val="28"/>
          <w:szCs w:val="28"/>
          <w:highlight w:val="none"/>
          <w:lang w:val="en-US" w:eastAsia="zh-CN" w:bidi="ar-SA"/>
        </w:rPr>
        <w:t>2023年度，办公用品购置种类≥3种，会议召开场次≥6次，成本控制率为≥95%。</w:t>
      </w:r>
      <w:r>
        <w:rPr>
          <w:rFonts w:hint="eastAsia" w:ascii="Times New Roman" w:hAnsi="Times New Roman" w:eastAsia="宋体" w:cs="宋体"/>
          <w:sz w:val="28"/>
          <w:szCs w:val="28"/>
          <w:highlight w:val="none"/>
          <w:lang w:val="en-US" w:eastAsia="zh-CN"/>
        </w:rPr>
        <w:t>综上所述，依据评分标准，该指标得2分。</w:t>
      </w:r>
    </w:p>
    <w:p w14:paraId="6FFE4B1C">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“绩效指标明确性”指标分值3分，得分2分。</w:t>
      </w:r>
    </w:p>
    <w:p w14:paraId="79039D9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根据</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绩效指标的设立情况，绩效目标细化分解为具体的绩效指标，且均通过清晰、可衡量的指标值予以体现，同时与</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目标任务数或计划数相对应。具体将其年度绩效目标细化量化为了产出数量指标、产出质量指标、产出时效指标以及效果指标，</w:t>
      </w:r>
      <w:r>
        <w:rPr>
          <w:rFonts w:hint="eastAsia" w:ascii="Times New Roman" w:hAnsi="Times New Roman" w:eastAsia="宋体" w:cs="宋体"/>
          <w:kern w:val="2"/>
          <w:sz w:val="28"/>
          <w:szCs w:val="28"/>
          <w:highlight w:val="none"/>
          <w:lang w:val="en-US" w:eastAsia="zh-CN" w:bidi="ar-SA"/>
        </w:rPr>
        <w:t>数量指标和质量指标及时效指标未覆盖全年整体工作，评价组通过查阅明细，印刷材料占本项目资金比重较大，应在绩效目标中设置相关指标。</w:t>
      </w:r>
      <w:r>
        <w:rPr>
          <w:rFonts w:hint="eastAsia" w:ascii="Times New Roman" w:hAnsi="Times New Roman" w:eastAsia="宋体" w:cs="宋体"/>
          <w:sz w:val="28"/>
          <w:szCs w:val="28"/>
          <w:highlight w:val="none"/>
          <w:lang w:val="en-US" w:eastAsia="zh-CN"/>
        </w:rPr>
        <w:t>综上所述，依据评分标准，该指标得2分。</w:t>
      </w:r>
    </w:p>
    <w:p w14:paraId="3B15B44D">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（3）资金投入</w:t>
      </w:r>
    </w:p>
    <w:p w14:paraId="672B577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“预算编制科学性”指标分值3分，得分3分。</w:t>
      </w:r>
    </w:p>
    <w:p w14:paraId="2BB5573B">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根据甘肃省人民代表大会常务委员会2023年度省人大常委会会议费项目计划实施情况，甘肃省人民代表大会常务委员会编制预算，预算编制经过了科学论证；预算内容与项目内容匹配；预算额度测算依据充分，按照标准编制；预算确定的项目资金量与工作任务相匹配。综上所述，依据评分标准，该指标得3分。</w:t>
      </w:r>
    </w:p>
    <w:p w14:paraId="2146FAC9">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“资金分配合理性”指标分值2分，得分2分。</w:t>
      </w:r>
    </w:p>
    <w:p w14:paraId="7BAD59F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yellow"/>
          <w:lang w:val="en-US" w:eastAsia="zh-CN"/>
        </w:rPr>
      </w:pPr>
      <w:r>
        <w:rPr>
          <w:rFonts w:hint="eastAsia" w:ascii="Times New Roman" w:hAnsi="Times New Roman" w:eastAsia="宋体" w:cs="宋体"/>
          <w:sz w:val="28"/>
          <w:szCs w:val="28"/>
          <w:highlight w:val="none"/>
          <w:lang w:val="en-US" w:eastAsia="zh-CN"/>
        </w:rPr>
        <w:t>根据甘肃省人民代表大会常务委员会2023年度省人大常委会会议费项目总投资及项目实施主要内容，</w:t>
      </w:r>
      <w:r>
        <w:rPr>
          <w:rFonts w:hint="eastAsia" w:ascii="Times New Roman" w:hAnsi="Times New Roman" w:eastAsia="宋体" w:cs="宋体"/>
          <w:kern w:val="2"/>
          <w:sz w:val="28"/>
          <w:szCs w:val="28"/>
          <w:highlight w:val="none"/>
          <w:lang w:val="en-US" w:eastAsia="zh-CN" w:bidi="ar-SA"/>
        </w:rPr>
        <w:t>项目</w:t>
      </w:r>
      <w:r>
        <w:rPr>
          <w:rFonts w:hint="eastAsia" w:ascii="Times New Roman" w:hAnsi="Times New Roman" w:eastAsia="宋体" w:cs="宋体"/>
          <w:sz w:val="28"/>
          <w:szCs w:val="28"/>
          <w:highlight w:val="none"/>
          <w:lang w:val="en-US" w:eastAsia="zh-CN"/>
        </w:rPr>
        <w:t>预算资金分配依据充分；资金分配额度合理，与项目单位相适应。综上所述，依据评分标准，该指标得2分。</w:t>
      </w:r>
    </w:p>
    <w:p w14:paraId="594D4C63">
      <w:pPr>
        <w:keepNext/>
        <w:keepLines/>
        <w:pageBreakBefore w:val="0"/>
        <w:widowControl w:val="0"/>
        <w:kinsoku/>
        <w:wordWrap/>
        <w:overflowPunct/>
        <w:topLinePunct w:val="0"/>
        <w:autoSpaceDE/>
        <w:autoSpaceDN/>
        <w:bidi w:val="0"/>
        <w:adjustRightInd/>
        <w:spacing w:line="600" w:lineRule="exact"/>
        <w:ind w:left="0" w:firstLine="562" w:firstLineChars="200"/>
        <w:textAlignment w:val="auto"/>
        <w:outlineLvl w:val="2"/>
        <w:rPr>
          <w:rFonts w:hint="default" w:ascii="Times New Roman" w:hAnsi="Times New Roman" w:eastAsia="宋体" w:cs="宋体"/>
          <w:b/>
          <w:bCs/>
          <w:sz w:val="28"/>
          <w:szCs w:val="28"/>
          <w:highlight w:val="none"/>
          <w:lang w:val="en-US" w:eastAsia="zh-CN"/>
        </w:rPr>
      </w:pPr>
      <w:bookmarkStart w:id="55" w:name="_Toc6360"/>
      <w:bookmarkStart w:id="56" w:name="_Toc20758"/>
      <w:r>
        <w:rPr>
          <w:rFonts w:hint="eastAsia" w:ascii="Times New Roman" w:hAnsi="Times New Roman" w:eastAsia="宋体" w:cs="宋体"/>
          <w:b/>
          <w:bCs/>
          <w:sz w:val="28"/>
          <w:szCs w:val="28"/>
          <w:highlight w:val="none"/>
          <w:lang w:val="en-US" w:eastAsia="zh-CN"/>
        </w:rPr>
        <w:t>2、项目过程</w:t>
      </w:r>
      <w:bookmarkEnd w:id="55"/>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27</w:t>
      </w:r>
      <w:r>
        <w:rPr>
          <w:rFonts w:hint="eastAsia" w:ascii="Times New Roman" w:hAnsi="Times New Roman" w:eastAsia="宋体" w:cs="宋体"/>
          <w:b/>
          <w:bCs/>
          <w:sz w:val="28"/>
          <w:szCs w:val="28"/>
          <w:highlight w:val="none"/>
        </w:rPr>
        <w:t>分）</w:t>
      </w:r>
      <w:bookmarkEnd w:id="56"/>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lang w:val="en-US" w:eastAsia="zh-CN"/>
        </w:rPr>
        <w:t>-1.2分）</w:t>
      </w:r>
    </w:p>
    <w:p w14:paraId="602200C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评价项目过程</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3-3</w:t>
      </w:r>
      <w:r>
        <w:rPr>
          <w:rFonts w:hint="eastAsia" w:ascii="Times New Roman" w:hAnsi="Times New Roman" w:eastAsia="宋体" w:cs="宋体"/>
          <w:sz w:val="28"/>
          <w:szCs w:val="28"/>
          <w:highlight w:val="none"/>
        </w:rPr>
        <w:t>所示：</w:t>
      </w:r>
    </w:p>
    <w:p w14:paraId="11457CC7">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3-3 项目过程</w:t>
      </w:r>
      <w:r>
        <w:rPr>
          <w:rFonts w:hint="eastAsia" w:ascii="Times New Roman" w:hAnsi="Times New Roman" w:eastAsia="宋体" w:cs="宋体"/>
          <w:b/>
          <w:bCs/>
          <w:sz w:val="24"/>
          <w:szCs w:val="24"/>
          <w:highlight w:val="none"/>
        </w:rPr>
        <w:t>类各项指标绩效评价得分表</w:t>
      </w:r>
    </w:p>
    <w:tbl>
      <w:tblPr>
        <w:tblStyle w:val="13"/>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751"/>
        <w:gridCol w:w="1407"/>
        <w:gridCol w:w="775"/>
        <w:gridCol w:w="2850"/>
        <w:gridCol w:w="797"/>
        <w:gridCol w:w="788"/>
      </w:tblGrid>
      <w:tr w14:paraId="60FB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10" w:type="pct"/>
            <w:shd w:val="clear" w:color="auto" w:fill="auto"/>
            <w:vAlign w:val="center"/>
          </w:tcPr>
          <w:p w14:paraId="4609CC3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37" w:type="pct"/>
            <w:shd w:val="clear" w:color="auto" w:fill="auto"/>
            <w:vAlign w:val="center"/>
          </w:tcPr>
          <w:p w14:paraId="7267BB0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2DBB48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6739A1A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58" w:type="pct"/>
            <w:shd w:val="clear" w:color="auto" w:fill="auto"/>
            <w:vAlign w:val="center"/>
          </w:tcPr>
          <w:p w14:paraId="32E7BBC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4" w:type="pct"/>
            <w:shd w:val="clear" w:color="auto" w:fill="auto"/>
            <w:vAlign w:val="center"/>
          </w:tcPr>
          <w:p w14:paraId="086070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9" w:type="pct"/>
            <w:shd w:val="clear" w:color="auto" w:fill="auto"/>
            <w:noWrap/>
            <w:vAlign w:val="center"/>
          </w:tcPr>
          <w:p w14:paraId="7E2C51B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6F99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restart"/>
            <w:shd w:val="clear" w:color="auto" w:fill="auto"/>
            <w:vAlign w:val="center"/>
          </w:tcPr>
          <w:p w14:paraId="018BAC1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项目过程</w:t>
            </w:r>
          </w:p>
        </w:tc>
        <w:tc>
          <w:tcPr>
            <w:tcW w:w="437" w:type="pct"/>
            <w:vMerge w:val="restart"/>
            <w:shd w:val="clear" w:color="auto" w:fill="auto"/>
            <w:vAlign w:val="center"/>
          </w:tcPr>
          <w:p w14:paraId="12B861E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27</w:t>
            </w:r>
          </w:p>
        </w:tc>
        <w:tc>
          <w:tcPr>
            <w:tcW w:w="819" w:type="pct"/>
            <w:vMerge w:val="restart"/>
            <w:shd w:val="clear" w:color="auto" w:fill="auto"/>
            <w:vAlign w:val="center"/>
          </w:tcPr>
          <w:p w14:paraId="7DED231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资金管理</w:t>
            </w:r>
          </w:p>
        </w:tc>
        <w:tc>
          <w:tcPr>
            <w:tcW w:w="451" w:type="pct"/>
            <w:vMerge w:val="restart"/>
            <w:shd w:val="clear" w:color="auto" w:fill="auto"/>
            <w:vAlign w:val="center"/>
          </w:tcPr>
          <w:p w14:paraId="23DB282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14</w:t>
            </w:r>
          </w:p>
        </w:tc>
        <w:tc>
          <w:tcPr>
            <w:tcW w:w="1658" w:type="pct"/>
            <w:shd w:val="clear" w:color="auto" w:fill="auto"/>
            <w:vAlign w:val="center"/>
          </w:tcPr>
          <w:p w14:paraId="18E5B79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资金到位率</w:t>
            </w:r>
          </w:p>
        </w:tc>
        <w:tc>
          <w:tcPr>
            <w:tcW w:w="464" w:type="pct"/>
            <w:shd w:val="clear" w:color="auto" w:fill="auto"/>
            <w:vAlign w:val="center"/>
          </w:tcPr>
          <w:p w14:paraId="475CC98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61393A6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3</w:t>
            </w:r>
          </w:p>
        </w:tc>
      </w:tr>
      <w:tr w14:paraId="002E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294FCE8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9A5A0E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7924B10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7634404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06D7FFB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预算执行率</w:t>
            </w:r>
          </w:p>
        </w:tc>
        <w:tc>
          <w:tcPr>
            <w:tcW w:w="464" w:type="pct"/>
            <w:shd w:val="clear" w:color="auto" w:fill="auto"/>
            <w:vAlign w:val="center"/>
          </w:tcPr>
          <w:p w14:paraId="6665CD1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426F05E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1.8</w:t>
            </w:r>
          </w:p>
        </w:tc>
      </w:tr>
      <w:tr w14:paraId="13AF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2E7D59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6779B5B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29D3B6B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1AB887F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57B766A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资金使用合规性</w:t>
            </w:r>
          </w:p>
        </w:tc>
        <w:tc>
          <w:tcPr>
            <w:tcW w:w="464" w:type="pct"/>
            <w:shd w:val="clear" w:color="auto" w:fill="auto"/>
            <w:vAlign w:val="center"/>
          </w:tcPr>
          <w:p w14:paraId="53C2D74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9" w:type="pct"/>
            <w:shd w:val="clear" w:color="auto" w:fill="auto"/>
            <w:noWrap/>
            <w:vAlign w:val="center"/>
          </w:tcPr>
          <w:p w14:paraId="4501036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427C2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346208E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E73BEA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396077A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4A17A91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17915B5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财务管理规范性</w:t>
            </w:r>
          </w:p>
        </w:tc>
        <w:tc>
          <w:tcPr>
            <w:tcW w:w="464" w:type="pct"/>
            <w:shd w:val="clear" w:color="auto" w:fill="auto"/>
            <w:vAlign w:val="center"/>
          </w:tcPr>
          <w:p w14:paraId="4474B76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c>
          <w:tcPr>
            <w:tcW w:w="459" w:type="pct"/>
            <w:shd w:val="clear" w:color="auto" w:fill="auto"/>
            <w:noWrap/>
            <w:vAlign w:val="center"/>
          </w:tcPr>
          <w:p w14:paraId="7F7D766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kern w:val="0"/>
                <w:sz w:val="24"/>
                <w:szCs w:val="24"/>
                <w:highlight w:val="none"/>
                <w:lang w:val="en-US" w:eastAsia="zh-CN"/>
              </w:rPr>
              <w:t>2</w:t>
            </w:r>
          </w:p>
        </w:tc>
      </w:tr>
      <w:tr w14:paraId="4EEB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81C5CB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7434AAD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restart"/>
            <w:shd w:val="clear" w:color="auto" w:fill="auto"/>
            <w:vAlign w:val="center"/>
          </w:tcPr>
          <w:p w14:paraId="458F6D1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组织实施</w:t>
            </w:r>
          </w:p>
        </w:tc>
        <w:tc>
          <w:tcPr>
            <w:tcW w:w="451" w:type="pct"/>
            <w:vMerge w:val="restart"/>
            <w:shd w:val="clear" w:color="auto" w:fill="auto"/>
            <w:vAlign w:val="center"/>
          </w:tcPr>
          <w:p w14:paraId="6293B63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13</w:t>
            </w:r>
          </w:p>
        </w:tc>
        <w:tc>
          <w:tcPr>
            <w:tcW w:w="1658" w:type="pct"/>
            <w:shd w:val="clear" w:color="auto" w:fill="auto"/>
            <w:vAlign w:val="center"/>
          </w:tcPr>
          <w:p w14:paraId="29C0B21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业务管理制度健全性</w:t>
            </w:r>
          </w:p>
        </w:tc>
        <w:tc>
          <w:tcPr>
            <w:tcW w:w="464" w:type="pct"/>
            <w:shd w:val="clear" w:color="auto" w:fill="auto"/>
            <w:vAlign w:val="center"/>
          </w:tcPr>
          <w:p w14:paraId="331BBC0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9" w:type="pct"/>
            <w:shd w:val="clear" w:color="auto" w:fill="auto"/>
            <w:noWrap/>
            <w:vAlign w:val="center"/>
          </w:tcPr>
          <w:p w14:paraId="4E45EE2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D22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5E8FB74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3424629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778B1E3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793333B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3F6EF6D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制度执行有效性</w:t>
            </w:r>
          </w:p>
        </w:tc>
        <w:tc>
          <w:tcPr>
            <w:tcW w:w="464" w:type="pct"/>
            <w:shd w:val="clear" w:color="auto" w:fill="auto"/>
            <w:vAlign w:val="center"/>
          </w:tcPr>
          <w:p w14:paraId="56A947E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9" w:type="pct"/>
            <w:shd w:val="clear" w:color="auto" w:fill="auto"/>
            <w:noWrap/>
            <w:vAlign w:val="center"/>
          </w:tcPr>
          <w:p w14:paraId="559F1B0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5A4E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47EB242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06CF108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48AA7D9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0698A52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2850" w:type="dxa"/>
            <w:shd w:val="clear" w:color="auto" w:fill="auto"/>
            <w:vAlign w:val="center"/>
          </w:tcPr>
          <w:p w14:paraId="241662D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政府采购规范性</w:t>
            </w:r>
          </w:p>
        </w:tc>
        <w:tc>
          <w:tcPr>
            <w:tcW w:w="797" w:type="dxa"/>
            <w:shd w:val="clear" w:color="auto" w:fill="auto"/>
            <w:vAlign w:val="center"/>
          </w:tcPr>
          <w:p w14:paraId="3559A67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9" w:type="pct"/>
            <w:shd w:val="clear" w:color="auto" w:fill="auto"/>
            <w:noWrap/>
            <w:vAlign w:val="center"/>
          </w:tcPr>
          <w:p w14:paraId="1E61F9C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794D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0" w:type="pct"/>
            <w:vMerge w:val="continue"/>
            <w:shd w:val="clear" w:color="auto" w:fill="auto"/>
            <w:vAlign w:val="center"/>
          </w:tcPr>
          <w:p w14:paraId="665FC0A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7" w:type="pct"/>
            <w:vMerge w:val="continue"/>
            <w:shd w:val="clear" w:color="auto" w:fill="auto"/>
            <w:vAlign w:val="center"/>
          </w:tcPr>
          <w:p w14:paraId="7B99FF5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5098FCA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451" w:type="pct"/>
            <w:vMerge w:val="continue"/>
            <w:shd w:val="clear" w:color="auto" w:fill="auto"/>
            <w:vAlign w:val="center"/>
          </w:tcPr>
          <w:p w14:paraId="3D96839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658" w:type="pct"/>
            <w:shd w:val="clear" w:color="auto" w:fill="auto"/>
            <w:vAlign w:val="center"/>
          </w:tcPr>
          <w:p w14:paraId="575893B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资金监管工作开展情况</w:t>
            </w:r>
          </w:p>
        </w:tc>
        <w:tc>
          <w:tcPr>
            <w:tcW w:w="464" w:type="pct"/>
            <w:shd w:val="clear" w:color="auto" w:fill="auto"/>
            <w:vAlign w:val="center"/>
          </w:tcPr>
          <w:p w14:paraId="160EA0C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9" w:type="pct"/>
            <w:shd w:val="clear" w:color="auto" w:fill="auto"/>
            <w:noWrap/>
            <w:vAlign w:val="center"/>
          </w:tcPr>
          <w:p w14:paraId="5C086C3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E1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76" w:type="pct"/>
            <w:gridSpan w:val="5"/>
            <w:shd w:val="clear" w:color="auto" w:fill="auto"/>
            <w:noWrap/>
            <w:vAlign w:val="center"/>
          </w:tcPr>
          <w:p w14:paraId="0680A40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合计</w:t>
            </w:r>
          </w:p>
        </w:tc>
        <w:tc>
          <w:tcPr>
            <w:tcW w:w="464" w:type="pct"/>
            <w:shd w:val="clear" w:color="auto" w:fill="auto"/>
            <w:noWrap/>
            <w:vAlign w:val="center"/>
          </w:tcPr>
          <w:p w14:paraId="2F4A699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27</w:t>
            </w:r>
          </w:p>
        </w:tc>
        <w:tc>
          <w:tcPr>
            <w:tcW w:w="459" w:type="pct"/>
            <w:shd w:val="clear" w:color="auto" w:fill="auto"/>
            <w:noWrap/>
            <w:vAlign w:val="center"/>
          </w:tcPr>
          <w:p w14:paraId="3B303F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宋体"/>
                <w:b/>
                <w:bCs/>
                <w:sz w:val="24"/>
                <w:szCs w:val="24"/>
                <w:highlight w:val="none"/>
                <w:lang w:val="en-US" w:eastAsia="zh-CN"/>
              </w:rPr>
            </w:pPr>
            <w:r>
              <w:rPr>
                <w:rFonts w:hint="eastAsia" w:ascii="Times New Roman" w:hAnsi="Times New Roman" w:eastAsia="宋体" w:cs="宋体"/>
                <w:b/>
                <w:bCs/>
                <w:sz w:val="24"/>
                <w:szCs w:val="24"/>
                <w:highlight w:val="none"/>
                <w:lang w:val="en-US" w:eastAsia="zh-CN"/>
              </w:rPr>
              <w:t>25.8</w:t>
            </w:r>
          </w:p>
        </w:tc>
      </w:tr>
    </w:tbl>
    <w:p w14:paraId="7E30188D">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（1）资金管理</w:t>
      </w:r>
    </w:p>
    <w:p w14:paraId="3DB4C84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“资金到位率”指标分值3分，得分3分。</w:t>
      </w:r>
    </w:p>
    <w:p w14:paraId="7F56CF1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核查项目收支明细账、抽查凭证、发放记录等资料，通过计算得到</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资金到位率达到目标值。综上所述，依据评分标准，该指标得3分。</w:t>
      </w:r>
    </w:p>
    <w:p w14:paraId="23C0AC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“预算执行率”指标分值3分，得分1.8分。</w:t>
      </w:r>
    </w:p>
    <w:p w14:paraId="1BDD80A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2023年度省人大常委会会议费项目年初预算资金为350.00万元，截至2023年12月31日，该项目共支出337.25万元，通过计算得到预算执行率为96.36%。综上所述，依据评分标准，该指标得1.8分。</w:t>
      </w:r>
    </w:p>
    <w:p w14:paraId="0BF90E0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i w:val="0"/>
          <w:iCs w:val="0"/>
          <w:color w:val="000000"/>
          <w:kern w:val="0"/>
          <w:sz w:val="28"/>
          <w:szCs w:val="28"/>
          <w:highlight w:val="none"/>
          <w:u w:val="none"/>
          <w:lang w:val="en-US" w:eastAsia="zh-CN" w:bidi="ar"/>
        </w:rPr>
        <w:t>资金使用合规性</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指标分值6分，得分6分。</w:t>
      </w:r>
    </w:p>
    <w:p w14:paraId="481AE10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甘肃省人民代表大会常务委员会2023年度省人大常委会会议费项目项目资金</w:t>
      </w:r>
      <w:r>
        <w:rPr>
          <w:rFonts w:hint="eastAsia" w:ascii="Times New Roman" w:hAnsi="Times New Roman" w:eastAsia="宋体" w:cs="宋体"/>
          <w:sz w:val="28"/>
          <w:szCs w:val="28"/>
          <w:highlight w:val="none"/>
          <w:lang w:val="en-US" w:eastAsia="zh-CN"/>
        </w:rPr>
        <w:t>的拨付有完整的审批程序和手续，符合项目预算批复，经费均按照相关要求</w:t>
      </w:r>
      <w:r>
        <w:rPr>
          <w:rFonts w:hint="eastAsia" w:ascii="Times New Roman" w:hAnsi="Times New Roman" w:eastAsia="宋体" w:cs="宋体"/>
          <w:kern w:val="2"/>
          <w:sz w:val="28"/>
          <w:szCs w:val="28"/>
          <w:highlight w:val="none"/>
          <w:lang w:val="en-US" w:eastAsia="zh-CN" w:bidi="ar-SA"/>
        </w:rPr>
        <w:t>进行拨付和使用</w:t>
      </w:r>
      <w:r>
        <w:rPr>
          <w:rFonts w:hint="eastAsia" w:ascii="Times New Roman" w:hAnsi="Times New Roman" w:eastAsia="宋体" w:cs="宋体"/>
          <w:sz w:val="28"/>
          <w:szCs w:val="28"/>
          <w:highlight w:val="none"/>
          <w:lang w:val="en-US" w:eastAsia="zh-CN"/>
        </w:rPr>
        <w:t>。综上所述，依据评分标准，该指标得6分。</w:t>
      </w:r>
    </w:p>
    <w:p w14:paraId="0E6D601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“财务管理规范性”指标分值2分，得分2分。</w:t>
      </w:r>
    </w:p>
    <w:p w14:paraId="705FBF1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经费严格执行会计记账各项要求，会计工作和会计资料真实、完整，且项目资金实行单独记账。综上所述，依据评分标准，该指标得2分。</w:t>
      </w:r>
    </w:p>
    <w:p w14:paraId="3C0276D7">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（2）组织实施</w:t>
      </w:r>
    </w:p>
    <w:p w14:paraId="1D8D1C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“业务管理制度健全性”指标分值2分，得分2分。</w:t>
      </w:r>
    </w:p>
    <w:p w14:paraId="384EA5F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颁布相关规章制度，制度健全可行、合法合规。综上所述，依据评分标准，该指标得2分。</w:t>
      </w:r>
    </w:p>
    <w:p w14:paraId="0EF0287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“制度执行有效性”指标分值3分，得分3分。</w:t>
      </w:r>
    </w:p>
    <w:p w14:paraId="389ACBF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遵守相关法律法规和相关管理规定；项目调整及支出调整手续完备；项目实施的人员条件、场地设备、信息支撑等落实到位；</w:t>
      </w:r>
      <w:r>
        <w:rPr>
          <w:rFonts w:hint="eastAsia" w:ascii="Times New Roman" w:hAnsi="Times New Roman" w:eastAsia="宋体" w:cs="宋体"/>
          <w:color w:val="000000"/>
          <w:kern w:val="0"/>
          <w:sz w:val="28"/>
          <w:szCs w:val="28"/>
          <w:highlight w:val="none"/>
          <w:lang w:val="en-US" w:eastAsia="zh-CN" w:bidi="ar"/>
        </w:rPr>
        <w:t>项目合同书、验收报告、技术鉴定等资料齐全合规并及时归档。</w:t>
      </w:r>
      <w:r>
        <w:rPr>
          <w:rFonts w:hint="eastAsia" w:ascii="Times New Roman" w:hAnsi="Times New Roman" w:eastAsia="宋体" w:cs="宋体"/>
          <w:sz w:val="28"/>
          <w:szCs w:val="28"/>
          <w:highlight w:val="none"/>
          <w:lang w:val="en-US" w:eastAsia="zh-CN"/>
        </w:rPr>
        <w:t>综上所述，依据评分标准，该指标得3分。</w:t>
      </w:r>
    </w:p>
    <w:p w14:paraId="4B36935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“政府采购规范性”指标分值4分，得分4分。</w:t>
      </w:r>
    </w:p>
    <w:p w14:paraId="3DDA216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政府采购流程规范，集体决策资料齐全完整，时间逻辑清晰合理，符合相关规定和要求；按照采购要求及时完成相关合同的签订，合同签订规范有效；合同管理合理有效。包括：实际提供服务或提供商品内容与合同约定条款相一致；按合同规定的技术、服务、安全标准及时组织对供应商约定验收，并出具验收相关材料；合同价款结算时，财务科室对合同条款和经审批的申请材料进行核对，按照合同约定付款等；政府采购项目信息按要求进行公示公开。综上所述，依据评分标准，该指标得4分。</w:t>
      </w:r>
    </w:p>
    <w:p w14:paraId="112BC7E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“资金监管工作开展情况”指标分值4分，得分4分。</w:t>
      </w:r>
    </w:p>
    <w:p w14:paraId="66D006B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lang w:val="en-US" w:eastAsia="zh-CN"/>
        </w:rPr>
        <w:t>及时开展资金支出自查工作，同时项目开展了外部资金审查工作。综上所述，依据评分标准，该指标得4分。</w:t>
      </w:r>
    </w:p>
    <w:p w14:paraId="7E73A41A">
      <w:pPr>
        <w:keepNext/>
        <w:keepLines/>
        <w:pageBreakBefore w:val="0"/>
        <w:widowControl w:val="0"/>
        <w:kinsoku/>
        <w:wordWrap/>
        <w:overflowPunct/>
        <w:topLinePunct w:val="0"/>
        <w:autoSpaceDE/>
        <w:autoSpaceDN/>
        <w:bidi w:val="0"/>
        <w:adjustRightInd/>
        <w:snapToGrid/>
        <w:spacing w:line="600" w:lineRule="exact"/>
        <w:ind w:firstLine="562" w:firstLineChars="200"/>
        <w:textAlignment w:val="auto"/>
        <w:outlineLvl w:val="2"/>
        <w:rPr>
          <w:rFonts w:hint="eastAsia" w:ascii="Times New Roman" w:hAnsi="Times New Roman" w:eastAsia="宋体" w:cs="宋体"/>
          <w:b/>
          <w:bCs/>
          <w:sz w:val="28"/>
          <w:szCs w:val="28"/>
          <w:highlight w:val="none"/>
          <w:lang w:val="en-US" w:eastAsia="zh-CN"/>
        </w:rPr>
      </w:pPr>
      <w:bookmarkStart w:id="57" w:name="_Toc31999"/>
      <w:bookmarkStart w:id="58" w:name="_Toc15913"/>
      <w:r>
        <w:rPr>
          <w:rFonts w:hint="eastAsia" w:ascii="Times New Roman" w:hAnsi="Times New Roman" w:eastAsia="宋体" w:cs="宋体"/>
          <w:b/>
          <w:bCs/>
          <w:sz w:val="28"/>
          <w:szCs w:val="28"/>
          <w:highlight w:val="none"/>
          <w:lang w:val="en-US" w:eastAsia="zh-CN"/>
        </w:rPr>
        <w:t>3、项目产出</w:t>
      </w:r>
      <w:bookmarkEnd w:id="57"/>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30</w:t>
      </w:r>
      <w:r>
        <w:rPr>
          <w:rFonts w:hint="eastAsia" w:ascii="Times New Roman" w:hAnsi="Times New Roman" w:eastAsia="宋体" w:cs="宋体"/>
          <w:b/>
          <w:bCs/>
          <w:sz w:val="28"/>
          <w:szCs w:val="28"/>
          <w:highlight w:val="none"/>
        </w:rPr>
        <w:t>分）</w:t>
      </w:r>
      <w:bookmarkEnd w:id="58"/>
    </w:p>
    <w:p w14:paraId="506DE6E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评价项目产出</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3-4</w:t>
      </w:r>
      <w:r>
        <w:rPr>
          <w:rFonts w:hint="eastAsia" w:ascii="Times New Roman" w:hAnsi="Times New Roman" w:eastAsia="宋体" w:cs="宋体"/>
          <w:sz w:val="28"/>
          <w:szCs w:val="28"/>
          <w:highlight w:val="none"/>
        </w:rPr>
        <w:t>所示：</w:t>
      </w:r>
    </w:p>
    <w:p w14:paraId="3977AC9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3-4 项目产出</w:t>
      </w:r>
      <w:r>
        <w:rPr>
          <w:rFonts w:hint="eastAsia" w:ascii="Times New Roman" w:hAnsi="Times New Roman" w:eastAsia="宋体" w:cs="宋体"/>
          <w:b/>
          <w:bCs/>
          <w:sz w:val="24"/>
          <w:szCs w:val="24"/>
          <w:highlight w:val="none"/>
        </w:rPr>
        <w:t>类各项指标绩效评价得分表</w:t>
      </w:r>
    </w:p>
    <w:tbl>
      <w:tblPr>
        <w:tblStyle w:val="13"/>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744"/>
        <w:gridCol w:w="1407"/>
        <w:gridCol w:w="775"/>
        <w:gridCol w:w="2891"/>
        <w:gridCol w:w="797"/>
        <w:gridCol w:w="787"/>
      </w:tblGrid>
      <w:tr w14:paraId="778F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91" w:type="pct"/>
            <w:shd w:val="clear" w:color="auto" w:fill="auto"/>
            <w:vAlign w:val="center"/>
          </w:tcPr>
          <w:p w14:paraId="19C94D7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一级指标</w:t>
            </w:r>
          </w:p>
        </w:tc>
        <w:tc>
          <w:tcPr>
            <w:tcW w:w="433" w:type="pct"/>
            <w:shd w:val="clear" w:color="auto" w:fill="auto"/>
            <w:vAlign w:val="center"/>
          </w:tcPr>
          <w:p w14:paraId="2270AF9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37C124E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722DFA7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1682" w:type="pct"/>
            <w:shd w:val="clear" w:color="auto" w:fill="auto"/>
            <w:vAlign w:val="center"/>
          </w:tcPr>
          <w:p w14:paraId="2EA2B5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三级指标</w:t>
            </w:r>
          </w:p>
        </w:tc>
        <w:tc>
          <w:tcPr>
            <w:tcW w:w="464" w:type="pct"/>
            <w:shd w:val="clear" w:color="auto" w:fill="auto"/>
            <w:vAlign w:val="center"/>
          </w:tcPr>
          <w:p w14:paraId="6EC8285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分值</w:t>
            </w:r>
          </w:p>
        </w:tc>
        <w:tc>
          <w:tcPr>
            <w:tcW w:w="458" w:type="pct"/>
            <w:shd w:val="clear" w:color="auto" w:fill="auto"/>
            <w:noWrap/>
            <w:vAlign w:val="center"/>
          </w:tcPr>
          <w:p w14:paraId="7E7662E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得分</w:t>
            </w:r>
          </w:p>
        </w:tc>
      </w:tr>
      <w:tr w14:paraId="01C8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restart"/>
            <w:shd w:val="clear" w:color="auto" w:fill="auto"/>
            <w:vAlign w:val="center"/>
          </w:tcPr>
          <w:p w14:paraId="58144D9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项目产出</w:t>
            </w:r>
          </w:p>
        </w:tc>
        <w:tc>
          <w:tcPr>
            <w:tcW w:w="433" w:type="pct"/>
            <w:vMerge w:val="restart"/>
            <w:shd w:val="clear" w:color="auto" w:fill="auto"/>
            <w:vAlign w:val="center"/>
          </w:tcPr>
          <w:p w14:paraId="5E4BD5D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30</w:t>
            </w:r>
          </w:p>
        </w:tc>
        <w:tc>
          <w:tcPr>
            <w:tcW w:w="819" w:type="pct"/>
            <w:vMerge w:val="restart"/>
            <w:shd w:val="clear" w:color="auto" w:fill="auto"/>
            <w:vAlign w:val="center"/>
          </w:tcPr>
          <w:p w14:paraId="55CCCAA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产出数量</w:t>
            </w:r>
          </w:p>
        </w:tc>
        <w:tc>
          <w:tcPr>
            <w:tcW w:w="451" w:type="pct"/>
            <w:vMerge w:val="restart"/>
            <w:shd w:val="clear" w:color="auto" w:fill="auto"/>
            <w:vAlign w:val="center"/>
          </w:tcPr>
          <w:p w14:paraId="2D54861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682" w:type="pct"/>
            <w:shd w:val="clear" w:color="auto" w:fill="auto"/>
            <w:vAlign w:val="center"/>
          </w:tcPr>
          <w:p w14:paraId="3862CAE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省人大常委会会议计划完成率</w:t>
            </w:r>
          </w:p>
        </w:tc>
        <w:tc>
          <w:tcPr>
            <w:tcW w:w="464" w:type="pct"/>
            <w:shd w:val="clear" w:color="auto" w:fill="auto"/>
            <w:vAlign w:val="center"/>
          </w:tcPr>
          <w:p w14:paraId="50F5455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8" w:type="pct"/>
            <w:shd w:val="clear" w:color="auto" w:fill="auto"/>
            <w:noWrap/>
            <w:vAlign w:val="center"/>
          </w:tcPr>
          <w:p w14:paraId="0DCC1FA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7DF8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74D018C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2599D2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50C8F11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0A3807E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2" w:type="pct"/>
            <w:shd w:val="clear" w:color="auto" w:fill="auto"/>
            <w:vAlign w:val="center"/>
          </w:tcPr>
          <w:p w14:paraId="56E738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会议用品采购计划完成率</w:t>
            </w:r>
          </w:p>
        </w:tc>
        <w:tc>
          <w:tcPr>
            <w:tcW w:w="464" w:type="pct"/>
            <w:shd w:val="clear" w:color="auto" w:fill="auto"/>
            <w:vAlign w:val="center"/>
          </w:tcPr>
          <w:p w14:paraId="10C4697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8" w:type="pct"/>
            <w:shd w:val="clear" w:color="auto" w:fill="auto"/>
            <w:noWrap/>
            <w:vAlign w:val="center"/>
          </w:tcPr>
          <w:p w14:paraId="5FA667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414F1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4969953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128184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4FFB58F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0BCABB2C">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2" w:type="pct"/>
            <w:shd w:val="clear" w:color="auto" w:fill="auto"/>
            <w:vAlign w:val="center"/>
          </w:tcPr>
          <w:p w14:paraId="4D83097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会议印刷材料计划完成率</w:t>
            </w:r>
          </w:p>
        </w:tc>
        <w:tc>
          <w:tcPr>
            <w:tcW w:w="464" w:type="pct"/>
            <w:shd w:val="clear" w:color="auto" w:fill="auto"/>
            <w:vAlign w:val="center"/>
          </w:tcPr>
          <w:p w14:paraId="6B601E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6B69D45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3AA2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6EA10AC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7F87BD5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vMerge w:val="continue"/>
            <w:shd w:val="clear" w:color="auto" w:fill="auto"/>
            <w:vAlign w:val="center"/>
          </w:tcPr>
          <w:p w14:paraId="5C187EA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46D0735D">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2" w:type="pct"/>
            <w:shd w:val="clear" w:color="auto" w:fill="auto"/>
            <w:vAlign w:val="center"/>
          </w:tcPr>
          <w:p w14:paraId="3AB257F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印发会议简报计划完成率</w:t>
            </w:r>
          </w:p>
        </w:tc>
        <w:tc>
          <w:tcPr>
            <w:tcW w:w="464" w:type="pct"/>
            <w:shd w:val="clear" w:color="auto" w:fill="auto"/>
            <w:vAlign w:val="center"/>
          </w:tcPr>
          <w:p w14:paraId="2685F0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4242A3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ED5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3C6624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6AAEB6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407" w:type="dxa"/>
            <w:vMerge w:val="restart"/>
            <w:shd w:val="clear" w:color="auto" w:fill="auto"/>
            <w:vAlign w:val="center"/>
          </w:tcPr>
          <w:p w14:paraId="1829B5D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产出质量</w:t>
            </w:r>
          </w:p>
        </w:tc>
        <w:tc>
          <w:tcPr>
            <w:tcW w:w="775" w:type="dxa"/>
            <w:vMerge w:val="restart"/>
            <w:shd w:val="clear" w:color="auto" w:fill="auto"/>
            <w:vAlign w:val="center"/>
          </w:tcPr>
          <w:p w14:paraId="793CFCD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2891" w:type="dxa"/>
            <w:shd w:val="clear" w:color="auto" w:fill="auto"/>
            <w:vAlign w:val="center"/>
          </w:tcPr>
          <w:p w14:paraId="2DAA52B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保障会议场次覆盖率</w:t>
            </w:r>
          </w:p>
        </w:tc>
        <w:tc>
          <w:tcPr>
            <w:tcW w:w="797" w:type="dxa"/>
            <w:shd w:val="clear" w:color="auto" w:fill="auto"/>
            <w:vAlign w:val="center"/>
          </w:tcPr>
          <w:p w14:paraId="1CEAF7B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6414616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1F9C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326AFF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7BC91B2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407" w:type="dxa"/>
            <w:vMerge w:val="continue"/>
            <w:shd w:val="clear" w:color="auto" w:fill="auto"/>
            <w:vAlign w:val="center"/>
          </w:tcPr>
          <w:p w14:paraId="7D181F0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022E924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299012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会议用品采购合格率</w:t>
            </w:r>
          </w:p>
        </w:tc>
        <w:tc>
          <w:tcPr>
            <w:tcW w:w="797" w:type="dxa"/>
            <w:shd w:val="clear" w:color="auto" w:fill="auto"/>
            <w:vAlign w:val="center"/>
          </w:tcPr>
          <w:p w14:paraId="66D89B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4B357B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00C9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2DBBC2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2CDB35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407" w:type="dxa"/>
            <w:vMerge w:val="continue"/>
            <w:shd w:val="clear" w:color="auto" w:fill="auto"/>
            <w:vAlign w:val="center"/>
          </w:tcPr>
          <w:p w14:paraId="0B4BED1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37FB2EB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1C00E9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印刷材料合格率</w:t>
            </w:r>
          </w:p>
        </w:tc>
        <w:tc>
          <w:tcPr>
            <w:tcW w:w="797" w:type="dxa"/>
            <w:shd w:val="clear" w:color="auto" w:fill="auto"/>
            <w:vAlign w:val="center"/>
          </w:tcPr>
          <w:p w14:paraId="7086357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722D28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43A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42ED849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3" w:type="pct"/>
            <w:vMerge w:val="continue"/>
            <w:shd w:val="clear" w:color="auto" w:fill="auto"/>
            <w:vAlign w:val="center"/>
          </w:tcPr>
          <w:p w14:paraId="5FE8861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407" w:type="dxa"/>
            <w:vMerge w:val="continue"/>
            <w:shd w:val="clear" w:color="auto" w:fill="auto"/>
            <w:vAlign w:val="center"/>
          </w:tcPr>
          <w:p w14:paraId="366A379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61A1DC1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6CA4DF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会议简报印发准确率</w:t>
            </w:r>
          </w:p>
        </w:tc>
        <w:tc>
          <w:tcPr>
            <w:tcW w:w="797" w:type="dxa"/>
            <w:shd w:val="clear" w:color="auto" w:fill="auto"/>
            <w:vAlign w:val="center"/>
          </w:tcPr>
          <w:p w14:paraId="00C944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5764010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AF0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724330C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5CF6BEF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407" w:type="dxa"/>
            <w:vMerge w:val="restart"/>
            <w:shd w:val="clear" w:color="auto" w:fill="auto"/>
            <w:vAlign w:val="center"/>
          </w:tcPr>
          <w:p w14:paraId="247424D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产出时效</w:t>
            </w:r>
          </w:p>
        </w:tc>
        <w:tc>
          <w:tcPr>
            <w:tcW w:w="775" w:type="dxa"/>
            <w:vMerge w:val="restart"/>
            <w:shd w:val="clear" w:color="auto" w:fill="auto"/>
            <w:vAlign w:val="center"/>
          </w:tcPr>
          <w:p w14:paraId="06125E5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2891" w:type="dxa"/>
            <w:shd w:val="clear" w:color="auto" w:fill="auto"/>
            <w:vAlign w:val="center"/>
          </w:tcPr>
          <w:p w14:paraId="61AC6F2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会议开展及时性</w:t>
            </w:r>
          </w:p>
        </w:tc>
        <w:tc>
          <w:tcPr>
            <w:tcW w:w="797" w:type="dxa"/>
            <w:shd w:val="clear" w:color="auto" w:fill="auto"/>
            <w:vAlign w:val="center"/>
          </w:tcPr>
          <w:p w14:paraId="22A802E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6EAB5D8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680B9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75A1CBB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7D2F537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407" w:type="dxa"/>
            <w:vMerge w:val="continue"/>
            <w:shd w:val="clear" w:color="auto" w:fill="auto"/>
            <w:vAlign w:val="center"/>
          </w:tcPr>
          <w:p w14:paraId="7B0B048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7454A54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1CEC2C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会议用品购置及时性</w:t>
            </w:r>
          </w:p>
        </w:tc>
        <w:tc>
          <w:tcPr>
            <w:tcW w:w="797" w:type="dxa"/>
            <w:shd w:val="clear" w:color="auto" w:fill="auto"/>
            <w:vAlign w:val="center"/>
          </w:tcPr>
          <w:p w14:paraId="76B1EF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72F5DA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97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59A180A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E40243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407" w:type="dxa"/>
            <w:vMerge w:val="continue"/>
            <w:shd w:val="clear" w:color="auto" w:fill="auto"/>
            <w:vAlign w:val="center"/>
          </w:tcPr>
          <w:p w14:paraId="110C633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154F62C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3983531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印刷会议材料及时性</w:t>
            </w:r>
          </w:p>
        </w:tc>
        <w:tc>
          <w:tcPr>
            <w:tcW w:w="797" w:type="dxa"/>
            <w:shd w:val="clear" w:color="auto" w:fill="auto"/>
            <w:vAlign w:val="center"/>
          </w:tcPr>
          <w:p w14:paraId="203060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0C8014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4271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13B6895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69757A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1407" w:type="dxa"/>
            <w:vMerge w:val="continue"/>
            <w:shd w:val="clear" w:color="auto" w:fill="auto"/>
            <w:vAlign w:val="center"/>
          </w:tcPr>
          <w:p w14:paraId="7D0E742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775" w:type="dxa"/>
            <w:vMerge w:val="continue"/>
            <w:shd w:val="clear" w:color="auto" w:fill="auto"/>
            <w:vAlign w:val="center"/>
          </w:tcPr>
          <w:p w14:paraId="76A34C6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2891" w:type="dxa"/>
            <w:shd w:val="clear" w:color="auto" w:fill="auto"/>
            <w:vAlign w:val="center"/>
          </w:tcPr>
          <w:p w14:paraId="6F0415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会议简报印发及时性</w:t>
            </w:r>
          </w:p>
        </w:tc>
        <w:tc>
          <w:tcPr>
            <w:tcW w:w="797" w:type="dxa"/>
            <w:shd w:val="clear" w:color="auto" w:fill="auto"/>
            <w:vAlign w:val="center"/>
          </w:tcPr>
          <w:p w14:paraId="7E6E02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47EEE17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r>
      <w:tr w14:paraId="56F3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1" w:type="pct"/>
            <w:vMerge w:val="continue"/>
            <w:shd w:val="clear" w:color="auto" w:fill="auto"/>
            <w:vAlign w:val="center"/>
          </w:tcPr>
          <w:p w14:paraId="4290827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rPr>
            </w:pPr>
          </w:p>
        </w:tc>
        <w:tc>
          <w:tcPr>
            <w:tcW w:w="433" w:type="pct"/>
            <w:vMerge w:val="continue"/>
            <w:shd w:val="clear" w:color="auto" w:fill="auto"/>
            <w:vAlign w:val="center"/>
          </w:tcPr>
          <w:p w14:paraId="1506EC0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kern w:val="0"/>
                <w:sz w:val="24"/>
                <w:szCs w:val="24"/>
                <w:highlight w:val="none"/>
                <w:lang w:val="en-US" w:eastAsia="zh-CN"/>
              </w:rPr>
            </w:pPr>
          </w:p>
        </w:tc>
        <w:tc>
          <w:tcPr>
            <w:tcW w:w="819" w:type="pct"/>
            <w:shd w:val="clear" w:color="auto" w:fill="auto"/>
            <w:vAlign w:val="center"/>
          </w:tcPr>
          <w:p w14:paraId="1D5BFC9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产出成本</w:t>
            </w:r>
          </w:p>
        </w:tc>
        <w:tc>
          <w:tcPr>
            <w:tcW w:w="451" w:type="pct"/>
            <w:shd w:val="clear" w:color="auto" w:fill="auto"/>
            <w:vAlign w:val="center"/>
          </w:tcPr>
          <w:p w14:paraId="2ADECAA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1682" w:type="pct"/>
            <w:shd w:val="clear" w:color="auto" w:fill="auto"/>
            <w:vAlign w:val="center"/>
          </w:tcPr>
          <w:p w14:paraId="2AAEE9C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成本节约率</w:t>
            </w:r>
          </w:p>
        </w:tc>
        <w:tc>
          <w:tcPr>
            <w:tcW w:w="464" w:type="pct"/>
            <w:shd w:val="clear" w:color="auto" w:fill="auto"/>
            <w:vAlign w:val="center"/>
          </w:tcPr>
          <w:p w14:paraId="0D0D59C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8" w:type="pct"/>
            <w:shd w:val="clear" w:color="auto" w:fill="auto"/>
            <w:noWrap/>
            <w:vAlign w:val="center"/>
          </w:tcPr>
          <w:p w14:paraId="68FB85C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274D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077" w:type="pct"/>
            <w:gridSpan w:val="5"/>
            <w:shd w:val="clear" w:color="auto" w:fill="auto"/>
            <w:noWrap/>
            <w:vAlign w:val="center"/>
          </w:tcPr>
          <w:p w14:paraId="2C1AD7F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rPr>
            </w:pPr>
            <w:r>
              <w:rPr>
                <w:rFonts w:hint="eastAsia" w:ascii="Times New Roman" w:hAnsi="Times New Roman" w:eastAsia="宋体" w:cs="宋体"/>
                <w:b/>
                <w:bCs/>
                <w:kern w:val="0"/>
                <w:sz w:val="24"/>
                <w:szCs w:val="24"/>
                <w:highlight w:val="none"/>
              </w:rPr>
              <w:t>合计</w:t>
            </w:r>
          </w:p>
        </w:tc>
        <w:tc>
          <w:tcPr>
            <w:tcW w:w="464" w:type="pct"/>
            <w:shd w:val="clear" w:color="auto" w:fill="auto"/>
            <w:noWrap/>
            <w:vAlign w:val="center"/>
          </w:tcPr>
          <w:p w14:paraId="728F375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30</w:t>
            </w:r>
          </w:p>
        </w:tc>
        <w:tc>
          <w:tcPr>
            <w:tcW w:w="458" w:type="pct"/>
            <w:shd w:val="clear" w:color="auto" w:fill="auto"/>
            <w:noWrap/>
            <w:vAlign w:val="center"/>
          </w:tcPr>
          <w:p w14:paraId="6180424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kern w:val="0"/>
                <w:sz w:val="24"/>
                <w:szCs w:val="24"/>
                <w:highlight w:val="none"/>
                <w:lang w:val="en-US" w:eastAsia="zh-CN"/>
              </w:rPr>
            </w:pPr>
            <w:r>
              <w:rPr>
                <w:rFonts w:hint="eastAsia" w:ascii="Times New Roman" w:hAnsi="Times New Roman" w:eastAsia="宋体" w:cs="宋体"/>
                <w:b/>
                <w:bCs/>
                <w:kern w:val="0"/>
                <w:sz w:val="24"/>
                <w:szCs w:val="24"/>
                <w:highlight w:val="none"/>
                <w:lang w:val="en-US" w:eastAsia="zh-CN"/>
              </w:rPr>
              <w:t>30</w:t>
            </w:r>
          </w:p>
        </w:tc>
      </w:tr>
    </w:tbl>
    <w:p w14:paraId="776E1E5A">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（1）产出数量</w:t>
      </w:r>
    </w:p>
    <w:p w14:paraId="4B94C63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“省人大常委会会议计划完成率”指标分值3分，得分3分。</w:t>
      </w:r>
    </w:p>
    <w:p w14:paraId="2B68BC9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yellow"/>
          <w:lang w:val="en-US" w:eastAsia="zh-CN" w:bidi="ar-SA"/>
        </w:rPr>
      </w:pPr>
      <w:r>
        <w:rPr>
          <w:rFonts w:hint="eastAsia" w:ascii="Times New Roman" w:hAnsi="Times New Roman" w:eastAsia="宋体" w:cs="宋体"/>
          <w:kern w:val="2"/>
          <w:sz w:val="28"/>
          <w:szCs w:val="28"/>
          <w:highlight w:val="none"/>
          <w:lang w:val="en-US" w:eastAsia="zh-CN" w:bidi="ar-SA"/>
        </w:rPr>
        <w:t>经项目组核查，甘肃省第十四届人民代表大会常务委员会会议在2023年度共计召开6次，与甘肃省人民代表大会常务委员会年初制定计划相符。</w:t>
      </w:r>
      <w:r>
        <w:rPr>
          <w:rFonts w:hint="eastAsia" w:ascii="Times New Roman" w:hAnsi="Times New Roman" w:eastAsia="宋体" w:cs="宋体"/>
          <w:sz w:val="28"/>
          <w:szCs w:val="28"/>
          <w:highlight w:val="none"/>
          <w:lang w:val="en-US" w:eastAsia="zh-CN"/>
        </w:rPr>
        <w:t>综上所述，依据评分标准，该指标得3分。</w:t>
      </w:r>
    </w:p>
    <w:p w14:paraId="04E2D48D">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“会议用品采购计划完成率”指标分值3分，得分3分。</w:t>
      </w:r>
    </w:p>
    <w:p w14:paraId="70AF1E0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经项目组核查，甘肃省人民代表大会常务委员会2023年度省人大常委会会议费项目购买参会委员办公用品3种以上，会议期间配发文件数量满足会议要求，达到目标值。</w:t>
      </w:r>
      <w:r>
        <w:rPr>
          <w:rFonts w:hint="eastAsia" w:ascii="Times New Roman" w:hAnsi="Times New Roman" w:eastAsia="宋体" w:cs="宋体"/>
          <w:sz w:val="28"/>
          <w:szCs w:val="28"/>
          <w:highlight w:val="none"/>
          <w:lang w:val="en-US" w:eastAsia="zh-CN"/>
        </w:rPr>
        <w:t>综上所述，依据评分标准，该指标得3分。</w:t>
      </w:r>
    </w:p>
    <w:p w14:paraId="76299C3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“会议印刷材料计划完成率”指标分值2分，得分2分。</w:t>
      </w:r>
    </w:p>
    <w:p w14:paraId="42056FC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经项目组核查，甘肃省人民代表大会常务委员会2023年度省人大常委会会议费项目会议印刷材料满足会议要求，各参会委员均反映良好。</w:t>
      </w:r>
      <w:r>
        <w:rPr>
          <w:rFonts w:hint="eastAsia" w:ascii="Times New Roman" w:hAnsi="Times New Roman" w:eastAsia="宋体" w:cs="宋体"/>
          <w:sz w:val="28"/>
          <w:szCs w:val="28"/>
          <w:highlight w:val="none"/>
          <w:lang w:val="en-US" w:eastAsia="zh-CN"/>
        </w:rPr>
        <w:t>综上所述，依据评分标准，该指标得2分。</w:t>
      </w:r>
    </w:p>
    <w:p w14:paraId="5A0B9C7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“印发会议简报计划完成率”指标分值2分，得分2分。</w:t>
      </w:r>
    </w:p>
    <w:p w14:paraId="56DC88A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甘肃省第十四届人民代表大会常务委员会会议在2023年度共计召开6次，会议简报充分利用报纸、电视、广播、网络等传统媒体和新媒体平台，对常务委员会会议内容进行宣传报道，将会议精神直接传达给基层群众，增强群众的获得感和满意度。</w:t>
      </w:r>
      <w:r>
        <w:rPr>
          <w:rFonts w:hint="eastAsia" w:ascii="Times New Roman" w:hAnsi="Times New Roman" w:eastAsia="宋体" w:cs="宋体"/>
          <w:sz w:val="28"/>
          <w:szCs w:val="28"/>
          <w:highlight w:val="none"/>
          <w:lang w:val="en-US" w:eastAsia="zh-CN"/>
        </w:rPr>
        <w:t>综上所述，依据评分标准，该指标得2分。</w:t>
      </w:r>
    </w:p>
    <w:p w14:paraId="66095F60">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（2）产出质量</w:t>
      </w:r>
    </w:p>
    <w:p w14:paraId="1B2FB6B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“保障会议场次覆盖率”指标分值2分，得分2分。</w:t>
      </w:r>
    </w:p>
    <w:p w14:paraId="43B8345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经项目组核查，并计算甘肃省人民代表大会常务委员会2023年度省人大常委会会议费项目</w:t>
      </w:r>
      <w:r>
        <w:rPr>
          <w:rFonts w:hint="eastAsia" w:ascii="Times New Roman" w:hAnsi="Times New Roman" w:eastAsia="宋体" w:cs="宋体"/>
          <w:sz w:val="28"/>
          <w:szCs w:val="28"/>
          <w:highlight w:val="none"/>
          <w:lang w:val="en-US" w:eastAsia="zh-CN"/>
        </w:rPr>
        <w:t>保障会议场次覆盖率</w:t>
      </w:r>
      <w:r>
        <w:rPr>
          <w:rFonts w:hint="eastAsia" w:ascii="Times New Roman" w:hAnsi="Times New Roman" w:eastAsia="宋体" w:cs="宋体"/>
          <w:kern w:val="2"/>
          <w:sz w:val="28"/>
          <w:szCs w:val="28"/>
          <w:highlight w:val="none"/>
          <w:lang w:val="en-US" w:eastAsia="zh-CN" w:bidi="ar-SA"/>
        </w:rPr>
        <w:t>达到目标值。2023年度共计召开6次保障6次，充分保障会议人员交通、住宿等。确保参会人员参会生活。</w:t>
      </w:r>
      <w:r>
        <w:rPr>
          <w:rFonts w:hint="eastAsia" w:ascii="Times New Roman" w:hAnsi="Times New Roman" w:eastAsia="宋体" w:cs="宋体"/>
          <w:sz w:val="28"/>
          <w:szCs w:val="28"/>
          <w:highlight w:val="none"/>
          <w:lang w:val="en-US" w:eastAsia="zh-CN"/>
        </w:rPr>
        <w:t>综上所述，依据评分标准，该指标得2分。</w:t>
      </w:r>
    </w:p>
    <w:p w14:paraId="4D457FE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“会议用品采购合格率”指标分值2分，得分2分。</w:t>
      </w:r>
    </w:p>
    <w:p w14:paraId="43B69A5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经项目组核查，并计算甘肃省人民代表大会常务委员会2023年度省人大常委会会议费项目</w:t>
      </w:r>
      <w:r>
        <w:rPr>
          <w:rFonts w:hint="eastAsia" w:ascii="Times New Roman" w:hAnsi="Times New Roman" w:eastAsia="宋体" w:cs="宋体"/>
          <w:sz w:val="28"/>
          <w:szCs w:val="28"/>
          <w:highlight w:val="none"/>
          <w:lang w:val="en-US" w:eastAsia="zh-CN"/>
        </w:rPr>
        <w:t>会议用品采购合格率</w:t>
      </w:r>
      <w:r>
        <w:rPr>
          <w:rFonts w:hint="eastAsia" w:ascii="Times New Roman" w:hAnsi="Times New Roman" w:eastAsia="宋体" w:cs="宋体"/>
          <w:kern w:val="2"/>
          <w:sz w:val="28"/>
          <w:szCs w:val="28"/>
          <w:highlight w:val="none"/>
          <w:lang w:val="en-US" w:eastAsia="zh-CN" w:bidi="ar-SA"/>
        </w:rPr>
        <w:t>达到100%。</w:t>
      </w:r>
      <w:r>
        <w:rPr>
          <w:rFonts w:hint="eastAsia" w:ascii="Times New Roman" w:hAnsi="Times New Roman" w:eastAsia="宋体" w:cs="宋体"/>
          <w:sz w:val="28"/>
          <w:szCs w:val="28"/>
          <w:highlight w:val="none"/>
          <w:lang w:val="en-US" w:eastAsia="zh-CN"/>
        </w:rPr>
        <w:t>综上所述，依据评分标准，该指标得2分。</w:t>
      </w:r>
    </w:p>
    <w:p w14:paraId="2B2C23C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“印刷材料合格率”指标分值2分，得分2分。</w:t>
      </w:r>
    </w:p>
    <w:p w14:paraId="42AF269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经项目组核查，并计算甘肃省人民代表大会常务委员会2023年度省人大常委会会议2023年度共计召开6次，</w:t>
      </w:r>
      <w:r>
        <w:rPr>
          <w:rFonts w:hint="eastAsia" w:ascii="Times New Roman" w:hAnsi="Times New Roman" w:eastAsia="宋体" w:cs="宋体"/>
          <w:sz w:val="28"/>
          <w:szCs w:val="28"/>
          <w:highlight w:val="none"/>
          <w:lang w:val="en-US" w:eastAsia="zh-CN"/>
        </w:rPr>
        <w:t>印刷材料合格率</w:t>
      </w:r>
      <w:r>
        <w:rPr>
          <w:rFonts w:hint="eastAsia" w:ascii="Times New Roman" w:hAnsi="Times New Roman" w:eastAsia="宋体" w:cs="宋体"/>
          <w:kern w:val="2"/>
          <w:sz w:val="28"/>
          <w:szCs w:val="28"/>
          <w:highlight w:val="none"/>
          <w:lang w:val="en-US" w:eastAsia="zh-CN" w:bidi="ar-SA"/>
        </w:rPr>
        <w:t>达到目标值。</w:t>
      </w:r>
      <w:r>
        <w:rPr>
          <w:rFonts w:hint="eastAsia" w:ascii="Times New Roman" w:hAnsi="Times New Roman" w:eastAsia="宋体" w:cs="宋体"/>
          <w:sz w:val="28"/>
          <w:szCs w:val="28"/>
          <w:highlight w:val="none"/>
          <w:lang w:val="en-US" w:eastAsia="zh-CN"/>
        </w:rPr>
        <w:t>综上所述，依据评分标准，该指标得2分。</w:t>
      </w:r>
    </w:p>
    <w:p w14:paraId="625AFC3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“会议简报印发准确率”指标分值2分，得分2分。</w:t>
      </w:r>
    </w:p>
    <w:p w14:paraId="7613510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并计算甘肃省人民代表大会常务委员会2023年度省人大常委会会议费项目通过广泛而深入的宣传工作，常务委员会会议内容和会议精神得到了有效传达和贯彻落实。一方面，提高了群众的政治觉悟和参与度；另一方面，也推动了各项工作的顺利开展和民生问题的有效解决。同时，宣传工作还增强了政府的公信力和凝聚力，为甘肃省的经济社会发展营造了良好的舆论氛围。</w:t>
      </w:r>
      <w:r>
        <w:rPr>
          <w:rFonts w:hint="eastAsia" w:ascii="Times New Roman" w:hAnsi="Times New Roman" w:eastAsia="宋体" w:cs="宋体"/>
          <w:sz w:val="28"/>
          <w:szCs w:val="28"/>
          <w:highlight w:val="none"/>
          <w:lang w:val="en-US" w:eastAsia="zh-CN"/>
        </w:rPr>
        <w:t>会议简报印发准确率</w:t>
      </w:r>
      <w:r>
        <w:rPr>
          <w:rFonts w:hint="eastAsia" w:ascii="Times New Roman" w:hAnsi="Times New Roman" w:eastAsia="宋体" w:cs="宋体"/>
          <w:kern w:val="2"/>
          <w:sz w:val="28"/>
          <w:szCs w:val="28"/>
          <w:highlight w:val="none"/>
          <w:lang w:val="en-US" w:eastAsia="zh-CN" w:bidi="ar-SA"/>
        </w:rPr>
        <w:t>达到目标值。</w:t>
      </w:r>
      <w:r>
        <w:rPr>
          <w:rFonts w:hint="eastAsia" w:ascii="Times New Roman" w:hAnsi="Times New Roman" w:eastAsia="宋体" w:cs="宋体"/>
          <w:sz w:val="28"/>
          <w:szCs w:val="28"/>
          <w:highlight w:val="none"/>
          <w:lang w:val="en-US" w:eastAsia="zh-CN"/>
        </w:rPr>
        <w:t>综上所述，依据评分标准，该指标得2分。</w:t>
      </w:r>
    </w:p>
    <w:p w14:paraId="5C102706">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（3）产出时效</w:t>
      </w:r>
    </w:p>
    <w:p w14:paraId="4BC7E4B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bookmarkStart w:id="59" w:name="_Toc29618"/>
      <w:r>
        <w:rPr>
          <w:rFonts w:hint="eastAsia" w:ascii="Times New Roman" w:hAnsi="Times New Roman" w:eastAsia="宋体" w:cs="宋体"/>
          <w:sz w:val="28"/>
          <w:szCs w:val="28"/>
          <w:highlight w:val="none"/>
          <w:lang w:val="en-US" w:eastAsia="zh-CN"/>
        </w:rPr>
        <w:t>“会议开展及时性”指标分值2分，得分2分。</w:t>
      </w:r>
    </w:p>
    <w:p w14:paraId="7EC909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经项目组核查，甘肃省人民代表大会常务委员会2023年度省人大常委会</w:t>
      </w:r>
      <w:r>
        <w:rPr>
          <w:rFonts w:hint="eastAsia" w:ascii="Times New Roman" w:hAnsi="Times New Roman" w:eastAsia="宋体" w:cs="宋体"/>
          <w:sz w:val="28"/>
          <w:szCs w:val="28"/>
          <w:highlight w:val="none"/>
          <w:lang w:val="en-US" w:eastAsia="zh-CN"/>
        </w:rPr>
        <w:t>会议均按计划时间完成</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764B451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“会议用品购置及时性”指标分值2分，得分2分。</w:t>
      </w:r>
    </w:p>
    <w:p w14:paraId="070E55C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经项目组核查，甘肃省人民代表大会常务委员会2023年度省人大常委会会议费项目会议用品购置</w:t>
      </w:r>
      <w:r>
        <w:rPr>
          <w:rFonts w:hint="eastAsia" w:ascii="Times New Roman" w:hAnsi="Times New Roman" w:eastAsia="宋体" w:cs="宋体"/>
          <w:sz w:val="28"/>
          <w:szCs w:val="28"/>
          <w:highlight w:val="none"/>
          <w:lang w:val="en-US" w:eastAsia="zh-CN"/>
        </w:rPr>
        <w:t>工作均在</w:t>
      </w:r>
      <w:r>
        <w:rPr>
          <w:rFonts w:hint="eastAsia" w:ascii="Times New Roman" w:hAnsi="Times New Roman" w:eastAsia="宋体" w:cs="宋体"/>
          <w:kern w:val="2"/>
          <w:sz w:val="28"/>
          <w:szCs w:val="28"/>
          <w:highlight w:val="none"/>
          <w:lang w:val="en-US" w:eastAsia="zh-CN" w:bidi="ar-SA"/>
        </w:rPr>
        <w:t>省人大常委会</w:t>
      </w:r>
      <w:r>
        <w:rPr>
          <w:rFonts w:hint="eastAsia" w:ascii="Times New Roman" w:hAnsi="Times New Roman" w:eastAsia="宋体" w:cs="宋体"/>
          <w:sz w:val="28"/>
          <w:szCs w:val="28"/>
          <w:highlight w:val="none"/>
          <w:lang w:val="en-US" w:eastAsia="zh-CN"/>
        </w:rPr>
        <w:t>会议开幕前完成采购，保障了会议进行</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1267D35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“印刷会议材料及时性”指标分值2分，得分2分。</w:t>
      </w:r>
    </w:p>
    <w:p w14:paraId="581277B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经项目组核查，甘肃省人民代表大会常务委员会2023年度省人大常委会会议费项目</w:t>
      </w:r>
      <w:r>
        <w:rPr>
          <w:rFonts w:hint="eastAsia" w:ascii="Times New Roman" w:hAnsi="Times New Roman" w:eastAsia="宋体" w:cs="宋体"/>
          <w:sz w:val="28"/>
          <w:szCs w:val="28"/>
          <w:highlight w:val="none"/>
          <w:lang w:val="en-US" w:eastAsia="zh-CN"/>
        </w:rPr>
        <w:t>印刷材料均在</w:t>
      </w:r>
      <w:r>
        <w:rPr>
          <w:rFonts w:hint="eastAsia" w:ascii="Times New Roman" w:hAnsi="Times New Roman" w:eastAsia="宋体" w:cs="宋体"/>
          <w:kern w:val="2"/>
          <w:sz w:val="28"/>
          <w:szCs w:val="28"/>
          <w:highlight w:val="none"/>
          <w:lang w:val="en-US" w:eastAsia="zh-CN" w:bidi="ar-SA"/>
        </w:rPr>
        <w:t>省人大常委会</w:t>
      </w:r>
      <w:r>
        <w:rPr>
          <w:rFonts w:hint="eastAsia" w:ascii="Times New Roman" w:hAnsi="Times New Roman" w:eastAsia="宋体" w:cs="宋体"/>
          <w:sz w:val="28"/>
          <w:szCs w:val="28"/>
          <w:highlight w:val="none"/>
          <w:lang w:val="en-US" w:eastAsia="zh-CN"/>
        </w:rPr>
        <w:t>会议开幕前完成，保障了会议进行</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6F610B2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“会议简报印发及时性”指标分值2分，得分2分。</w:t>
      </w:r>
    </w:p>
    <w:p w14:paraId="683770A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kern w:val="2"/>
          <w:sz w:val="28"/>
          <w:szCs w:val="28"/>
          <w:highlight w:val="none"/>
          <w:lang w:val="en-US" w:eastAsia="zh-CN" w:bidi="ar-SA"/>
        </w:rPr>
        <w:t>经项目组核查，甘肃省人民代表大会常务委员会2023年度省人大常委会会议费项目</w:t>
      </w:r>
      <w:r>
        <w:rPr>
          <w:rFonts w:hint="eastAsia" w:ascii="Times New Roman" w:hAnsi="Times New Roman" w:eastAsia="宋体" w:cs="宋体"/>
          <w:sz w:val="28"/>
          <w:szCs w:val="28"/>
          <w:highlight w:val="none"/>
          <w:lang w:val="en-US" w:eastAsia="zh-CN"/>
        </w:rPr>
        <w:t>充分利用报纸、电视、广播、网络等传统媒体和新媒体平台，对</w:t>
      </w:r>
      <w:r>
        <w:rPr>
          <w:rFonts w:hint="eastAsia" w:ascii="Times New Roman" w:hAnsi="Times New Roman" w:eastAsia="宋体" w:cs="宋体"/>
          <w:kern w:val="2"/>
          <w:sz w:val="28"/>
          <w:szCs w:val="28"/>
          <w:highlight w:val="none"/>
          <w:lang w:val="en-US" w:eastAsia="zh-CN" w:bidi="ar-SA"/>
        </w:rPr>
        <w:t>省人大常委会会议精神</w:t>
      </w:r>
      <w:r>
        <w:rPr>
          <w:rFonts w:hint="eastAsia" w:ascii="Times New Roman" w:hAnsi="Times New Roman" w:eastAsia="宋体" w:cs="宋体"/>
          <w:sz w:val="28"/>
          <w:szCs w:val="28"/>
          <w:highlight w:val="none"/>
          <w:lang w:val="en-US" w:eastAsia="zh-CN"/>
        </w:rPr>
        <w:t>进行宣传报道，未产生信息滞后宣传不及时情况</w:t>
      </w:r>
      <w:r>
        <w:rPr>
          <w:rFonts w:hint="eastAsia" w:ascii="Times New Roman" w:hAnsi="Times New Roman" w:eastAsia="宋体" w:cs="宋体"/>
          <w:kern w:val="2"/>
          <w:sz w:val="28"/>
          <w:szCs w:val="28"/>
          <w:highlight w:val="none"/>
          <w:lang w:val="en-US" w:eastAsia="zh-CN" w:bidi="ar-SA"/>
        </w:rPr>
        <w:t>。</w:t>
      </w:r>
      <w:r>
        <w:rPr>
          <w:rFonts w:hint="eastAsia" w:ascii="Times New Roman" w:hAnsi="Times New Roman" w:eastAsia="宋体" w:cs="宋体"/>
          <w:sz w:val="28"/>
          <w:szCs w:val="28"/>
          <w:highlight w:val="none"/>
          <w:lang w:val="en-US" w:eastAsia="zh-CN"/>
        </w:rPr>
        <w:t>综上所述，依据评分标准，该指标得2分。</w:t>
      </w:r>
    </w:p>
    <w:p w14:paraId="6FFFB2FB">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（4）产出成本</w:t>
      </w:r>
    </w:p>
    <w:p w14:paraId="4A9C8D2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“成本节约率”指标分值4分，得分4分。</w:t>
      </w:r>
    </w:p>
    <w:p w14:paraId="171CEDD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核查项目收支明细账、抽查凭证、发放记录等资料，通过计算</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甘肃省人民代表大会常务委员会2023年度省人大常委会会议费项目项目资金节约成本</w:t>
      </w:r>
      <w:r>
        <w:rPr>
          <w:rFonts w:hint="eastAsia" w:ascii="Times New Roman" w:hAnsi="Times New Roman" w:eastAsia="宋体" w:cs="宋体"/>
          <w:sz w:val="28"/>
          <w:szCs w:val="28"/>
          <w:highlight w:val="none"/>
          <w:lang w:val="en-US" w:eastAsia="zh-CN"/>
        </w:rPr>
        <w:t>与项目计划成本的比值，得出成本节约率达到了目标值。综上所述，依据评分标准，该指标得4分。</w:t>
      </w:r>
    </w:p>
    <w:p w14:paraId="54ADC299">
      <w:pPr>
        <w:keepNext/>
        <w:keepLines/>
        <w:pageBreakBefore w:val="0"/>
        <w:widowControl w:val="0"/>
        <w:kinsoku/>
        <w:wordWrap/>
        <w:overflowPunct/>
        <w:topLinePunct w:val="0"/>
        <w:autoSpaceDE/>
        <w:autoSpaceDN/>
        <w:bidi w:val="0"/>
        <w:adjustRightInd/>
        <w:snapToGrid/>
        <w:spacing w:line="600" w:lineRule="exact"/>
        <w:ind w:firstLine="562" w:firstLineChars="200"/>
        <w:textAlignment w:val="auto"/>
        <w:outlineLvl w:val="2"/>
        <w:rPr>
          <w:rFonts w:hint="eastAsia" w:ascii="Times New Roman" w:hAnsi="Times New Roman" w:eastAsia="宋体" w:cs="宋体"/>
          <w:b/>
          <w:bCs/>
          <w:sz w:val="28"/>
          <w:szCs w:val="28"/>
          <w:highlight w:val="none"/>
          <w:lang w:val="en-US" w:eastAsia="zh-CN"/>
        </w:rPr>
      </w:pPr>
      <w:bookmarkStart w:id="60" w:name="_Toc14694"/>
      <w:r>
        <w:rPr>
          <w:rFonts w:hint="eastAsia" w:ascii="Times New Roman" w:hAnsi="Times New Roman" w:eastAsia="宋体" w:cs="宋体"/>
          <w:b/>
          <w:bCs/>
          <w:sz w:val="28"/>
          <w:szCs w:val="28"/>
          <w:highlight w:val="none"/>
          <w:lang w:val="en-US" w:eastAsia="zh-CN"/>
        </w:rPr>
        <w:t>4、项目效果</w:t>
      </w:r>
      <w:bookmarkEnd w:id="59"/>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29</w:t>
      </w:r>
      <w:r>
        <w:rPr>
          <w:rFonts w:hint="eastAsia" w:ascii="Times New Roman" w:hAnsi="Times New Roman" w:eastAsia="宋体" w:cs="宋体"/>
          <w:b/>
          <w:bCs/>
          <w:sz w:val="28"/>
          <w:szCs w:val="28"/>
          <w:highlight w:val="none"/>
        </w:rPr>
        <w:t>分）</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lang w:val="en-US" w:eastAsia="zh-CN"/>
        </w:rPr>
        <w:t>-2.83分）</w:t>
      </w:r>
      <w:bookmarkEnd w:id="60"/>
    </w:p>
    <w:p w14:paraId="67D21FF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rPr>
      </w:pP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评价项目效果</w:t>
      </w:r>
      <w:r>
        <w:rPr>
          <w:rFonts w:hint="eastAsia" w:ascii="Times New Roman" w:hAnsi="Times New Roman" w:eastAsia="宋体" w:cs="宋体"/>
          <w:sz w:val="28"/>
          <w:szCs w:val="28"/>
          <w:highlight w:val="none"/>
        </w:rPr>
        <w:t>类指标具体得分情况如表</w:t>
      </w:r>
      <w:r>
        <w:rPr>
          <w:rFonts w:hint="eastAsia" w:ascii="Times New Roman" w:hAnsi="Times New Roman" w:eastAsia="宋体" w:cs="宋体"/>
          <w:sz w:val="28"/>
          <w:szCs w:val="28"/>
          <w:highlight w:val="none"/>
          <w:lang w:val="en-US" w:eastAsia="zh-CN"/>
        </w:rPr>
        <w:t>3-5</w:t>
      </w:r>
      <w:r>
        <w:rPr>
          <w:rFonts w:hint="eastAsia" w:ascii="Times New Roman" w:hAnsi="Times New Roman" w:eastAsia="宋体" w:cs="宋体"/>
          <w:sz w:val="28"/>
          <w:szCs w:val="28"/>
          <w:highlight w:val="none"/>
        </w:rPr>
        <w:t>所示：</w:t>
      </w:r>
    </w:p>
    <w:p w14:paraId="0F31158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rPr>
      </w:pPr>
    </w:p>
    <w:p w14:paraId="4C86B35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宋体" w:cs="宋体"/>
          <w:sz w:val="28"/>
          <w:szCs w:val="28"/>
          <w:highlight w:val="none"/>
        </w:rPr>
      </w:pPr>
    </w:p>
    <w:p w14:paraId="3AD9DDE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rPr>
        <w:t>表</w:t>
      </w:r>
      <w:r>
        <w:rPr>
          <w:rFonts w:hint="eastAsia" w:ascii="Times New Roman" w:hAnsi="Times New Roman" w:eastAsia="宋体" w:cs="宋体"/>
          <w:b/>
          <w:bCs/>
          <w:sz w:val="24"/>
          <w:szCs w:val="24"/>
          <w:highlight w:val="none"/>
          <w:lang w:val="en-US" w:eastAsia="zh-CN"/>
        </w:rPr>
        <w:t>3-5 项目效果</w:t>
      </w:r>
      <w:r>
        <w:rPr>
          <w:rFonts w:hint="eastAsia" w:ascii="Times New Roman" w:hAnsi="Times New Roman" w:eastAsia="宋体" w:cs="宋体"/>
          <w:b/>
          <w:bCs/>
          <w:sz w:val="24"/>
          <w:szCs w:val="24"/>
          <w:highlight w:val="none"/>
        </w:rPr>
        <w:t>类各项指标绩效评价得分表</w:t>
      </w:r>
    </w:p>
    <w:tbl>
      <w:tblPr>
        <w:tblStyle w:val="13"/>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742"/>
        <w:gridCol w:w="1409"/>
        <w:gridCol w:w="776"/>
        <w:gridCol w:w="2891"/>
        <w:gridCol w:w="798"/>
        <w:gridCol w:w="788"/>
      </w:tblGrid>
      <w:tr w14:paraId="7C50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trPr>
        <w:tc>
          <w:tcPr>
            <w:tcW w:w="694" w:type="pct"/>
            <w:shd w:val="clear" w:color="auto" w:fill="auto"/>
            <w:vAlign w:val="center"/>
          </w:tcPr>
          <w:p w14:paraId="60F7307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一级指标</w:t>
            </w:r>
          </w:p>
        </w:tc>
        <w:tc>
          <w:tcPr>
            <w:tcW w:w="432" w:type="pct"/>
            <w:shd w:val="clear" w:color="auto" w:fill="auto"/>
            <w:vAlign w:val="center"/>
          </w:tcPr>
          <w:p w14:paraId="268D73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819" w:type="pct"/>
            <w:shd w:val="clear" w:color="auto" w:fill="auto"/>
            <w:vAlign w:val="center"/>
          </w:tcPr>
          <w:p w14:paraId="01AF0D3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二级指标</w:t>
            </w:r>
          </w:p>
        </w:tc>
        <w:tc>
          <w:tcPr>
            <w:tcW w:w="451" w:type="pct"/>
            <w:shd w:val="clear" w:color="auto" w:fill="auto"/>
            <w:vAlign w:val="center"/>
          </w:tcPr>
          <w:p w14:paraId="00FC99B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1680" w:type="pct"/>
            <w:shd w:val="clear" w:color="auto" w:fill="auto"/>
            <w:vAlign w:val="center"/>
          </w:tcPr>
          <w:p w14:paraId="092970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三级指标</w:t>
            </w:r>
          </w:p>
        </w:tc>
        <w:tc>
          <w:tcPr>
            <w:tcW w:w="464" w:type="pct"/>
            <w:shd w:val="clear" w:color="auto" w:fill="auto"/>
            <w:vAlign w:val="center"/>
          </w:tcPr>
          <w:p w14:paraId="0EC5AC8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分值</w:t>
            </w:r>
          </w:p>
        </w:tc>
        <w:tc>
          <w:tcPr>
            <w:tcW w:w="458" w:type="pct"/>
            <w:shd w:val="clear" w:color="auto" w:fill="auto"/>
            <w:noWrap/>
            <w:vAlign w:val="center"/>
          </w:tcPr>
          <w:p w14:paraId="49BD7B6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Times New Roman" w:hAnsi="Times New Roman" w:eastAsia="宋体" w:cs="宋体"/>
                <w:b/>
                <w:bCs/>
                <w:sz w:val="24"/>
                <w:szCs w:val="24"/>
                <w:highlight w:val="none"/>
              </w:rPr>
            </w:pPr>
            <w:r>
              <w:rPr>
                <w:rFonts w:hint="eastAsia" w:ascii="Times New Roman" w:hAnsi="Times New Roman" w:eastAsia="宋体" w:cs="宋体"/>
                <w:b/>
                <w:bCs/>
                <w:kern w:val="0"/>
                <w:sz w:val="24"/>
                <w:szCs w:val="24"/>
                <w:highlight w:val="none"/>
              </w:rPr>
              <w:t>得分</w:t>
            </w:r>
          </w:p>
        </w:tc>
      </w:tr>
      <w:tr w14:paraId="6A93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pct"/>
            <w:vMerge w:val="restart"/>
            <w:shd w:val="clear" w:color="auto" w:fill="auto"/>
            <w:vAlign w:val="center"/>
          </w:tcPr>
          <w:p w14:paraId="2C8839F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产出效益</w:t>
            </w:r>
          </w:p>
        </w:tc>
        <w:tc>
          <w:tcPr>
            <w:tcW w:w="432" w:type="pct"/>
            <w:vMerge w:val="restart"/>
            <w:shd w:val="clear" w:color="auto" w:fill="auto"/>
            <w:vAlign w:val="center"/>
          </w:tcPr>
          <w:p w14:paraId="6DABE3F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29</w:t>
            </w:r>
          </w:p>
        </w:tc>
        <w:tc>
          <w:tcPr>
            <w:tcW w:w="819" w:type="pct"/>
            <w:vMerge w:val="restart"/>
            <w:shd w:val="clear" w:color="auto" w:fill="auto"/>
            <w:vAlign w:val="center"/>
          </w:tcPr>
          <w:p w14:paraId="3142B93A">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社会效益</w:t>
            </w:r>
          </w:p>
        </w:tc>
        <w:tc>
          <w:tcPr>
            <w:tcW w:w="451" w:type="pct"/>
            <w:vMerge w:val="restart"/>
            <w:shd w:val="clear" w:color="auto" w:fill="auto"/>
            <w:vAlign w:val="center"/>
          </w:tcPr>
          <w:p w14:paraId="603F170C">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w:t>
            </w:r>
          </w:p>
        </w:tc>
        <w:tc>
          <w:tcPr>
            <w:tcW w:w="1680" w:type="pct"/>
            <w:shd w:val="clear" w:color="auto" w:fill="auto"/>
            <w:vAlign w:val="center"/>
          </w:tcPr>
          <w:p w14:paraId="7FB9EB2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维护法治促进民主发展提升性</w:t>
            </w:r>
          </w:p>
        </w:tc>
        <w:tc>
          <w:tcPr>
            <w:tcW w:w="464" w:type="pct"/>
            <w:shd w:val="clear" w:color="auto" w:fill="auto"/>
            <w:vAlign w:val="center"/>
          </w:tcPr>
          <w:p w14:paraId="4C4931A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8" w:type="pct"/>
            <w:shd w:val="clear" w:color="auto" w:fill="auto"/>
            <w:noWrap/>
            <w:vAlign w:val="center"/>
          </w:tcPr>
          <w:p w14:paraId="536E013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3356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pct"/>
            <w:vMerge w:val="continue"/>
            <w:shd w:val="clear" w:color="auto" w:fill="auto"/>
            <w:vAlign w:val="center"/>
          </w:tcPr>
          <w:p w14:paraId="077AE275">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2" w:type="pct"/>
            <w:vMerge w:val="continue"/>
            <w:shd w:val="clear" w:color="auto" w:fill="auto"/>
            <w:vAlign w:val="center"/>
          </w:tcPr>
          <w:p w14:paraId="53C4C23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5352FDE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51EC2F8F">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0" w:type="pct"/>
            <w:shd w:val="clear" w:color="auto" w:fill="auto"/>
            <w:vAlign w:val="center"/>
          </w:tcPr>
          <w:p w14:paraId="06ECE36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民生经济发展保障性</w:t>
            </w:r>
          </w:p>
        </w:tc>
        <w:tc>
          <w:tcPr>
            <w:tcW w:w="464" w:type="pct"/>
            <w:shd w:val="clear" w:color="auto" w:fill="auto"/>
            <w:vAlign w:val="center"/>
          </w:tcPr>
          <w:p w14:paraId="738A8CE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c>
          <w:tcPr>
            <w:tcW w:w="458" w:type="pct"/>
            <w:shd w:val="clear" w:color="auto" w:fill="auto"/>
            <w:noWrap/>
            <w:vAlign w:val="center"/>
          </w:tcPr>
          <w:p w14:paraId="4E50EF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6</w:t>
            </w:r>
          </w:p>
        </w:tc>
      </w:tr>
      <w:tr w14:paraId="279E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pct"/>
            <w:vMerge w:val="continue"/>
            <w:shd w:val="clear" w:color="auto" w:fill="auto"/>
            <w:vAlign w:val="center"/>
          </w:tcPr>
          <w:p w14:paraId="3A91F59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2" w:type="pct"/>
            <w:vMerge w:val="continue"/>
            <w:shd w:val="clear" w:color="auto" w:fill="auto"/>
            <w:vAlign w:val="center"/>
          </w:tcPr>
          <w:p w14:paraId="2E070CF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restart"/>
            <w:shd w:val="clear" w:color="auto" w:fill="auto"/>
            <w:vAlign w:val="center"/>
          </w:tcPr>
          <w:p w14:paraId="08B3B6B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可持续影响</w:t>
            </w:r>
          </w:p>
        </w:tc>
        <w:tc>
          <w:tcPr>
            <w:tcW w:w="451" w:type="pct"/>
            <w:vMerge w:val="restart"/>
            <w:shd w:val="clear" w:color="auto" w:fill="auto"/>
            <w:vAlign w:val="center"/>
          </w:tcPr>
          <w:p w14:paraId="6DAFCD0E">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w:t>
            </w:r>
          </w:p>
        </w:tc>
        <w:tc>
          <w:tcPr>
            <w:tcW w:w="1680" w:type="pct"/>
            <w:shd w:val="clear" w:color="auto" w:fill="auto"/>
            <w:vAlign w:val="center"/>
          </w:tcPr>
          <w:p w14:paraId="002D29D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长效管理机制健全性</w:t>
            </w:r>
          </w:p>
        </w:tc>
        <w:tc>
          <w:tcPr>
            <w:tcW w:w="464" w:type="pct"/>
            <w:shd w:val="clear" w:color="auto" w:fill="auto"/>
            <w:vAlign w:val="center"/>
          </w:tcPr>
          <w:p w14:paraId="760D3992">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c>
          <w:tcPr>
            <w:tcW w:w="458" w:type="pct"/>
            <w:shd w:val="clear" w:color="auto" w:fill="auto"/>
            <w:noWrap/>
            <w:vAlign w:val="center"/>
          </w:tcPr>
          <w:p w14:paraId="503E7B9B">
            <w:pPr>
              <w:keepNext w:val="0"/>
              <w:keepLines w:val="0"/>
              <w:pageBreakBefore w:val="0"/>
              <w:kinsoku/>
              <w:wordWrap/>
              <w:overflowPunct/>
              <w:topLinePunct w:val="0"/>
              <w:autoSpaceDE/>
              <w:autoSpaceDN/>
              <w:bidi w:val="0"/>
              <w:spacing w:line="240" w:lineRule="auto"/>
              <w:jc w:val="center"/>
              <w:rPr>
                <w:rFonts w:hint="default"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4</w:t>
            </w:r>
          </w:p>
        </w:tc>
      </w:tr>
      <w:tr w14:paraId="690A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pct"/>
            <w:vMerge w:val="continue"/>
            <w:shd w:val="clear" w:color="auto" w:fill="auto"/>
            <w:vAlign w:val="center"/>
          </w:tcPr>
          <w:p w14:paraId="5B32490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2" w:type="pct"/>
            <w:vMerge w:val="continue"/>
            <w:shd w:val="clear" w:color="auto" w:fill="auto"/>
            <w:vAlign w:val="center"/>
          </w:tcPr>
          <w:p w14:paraId="5BABB6A0">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5E99EDE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7A4F69C8">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0" w:type="pct"/>
            <w:shd w:val="clear" w:color="auto" w:fill="auto"/>
            <w:vAlign w:val="center"/>
          </w:tcPr>
          <w:p w14:paraId="3B1555C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档案管理机制完备性</w:t>
            </w:r>
          </w:p>
        </w:tc>
        <w:tc>
          <w:tcPr>
            <w:tcW w:w="464" w:type="pct"/>
            <w:shd w:val="clear" w:color="auto" w:fill="auto"/>
            <w:vAlign w:val="center"/>
          </w:tcPr>
          <w:p w14:paraId="3F43A1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c>
          <w:tcPr>
            <w:tcW w:w="458" w:type="pct"/>
            <w:shd w:val="clear" w:color="auto" w:fill="auto"/>
            <w:noWrap/>
            <w:vAlign w:val="center"/>
          </w:tcPr>
          <w:p w14:paraId="660F34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3</w:t>
            </w:r>
          </w:p>
        </w:tc>
      </w:tr>
      <w:tr w14:paraId="2AA1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pct"/>
            <w:vMerge w:val="continue"/>
            <w:shd w:val="clear" w:color="auto" w:fill="auto"/>
            <w:vAlign w:val="center"/>
          </w:tcPr>
          <w:p w14:paraId="3EA8AF3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2" w:type="pct"/>
            <w:vMerge w:val="continue"/>
            <w:shd w:val="clear" w:color="auto" w:fill="auto"/>
            <w:vAlign w:val="center"/>
          </w:tcPr>
          <w:p w14:paraId="231F8626">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restart"/>
            <w:shd w:val="clear" w:color="auto" w:fill="auto"/>
            <w:vAlign w:val="center"/>
          </w:tcPr>
          <w:p w14:paraId="76AE983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满意度</w:t>
            </w:r>
          </w:p>
        </w:tc>
        <w:tc>
          <w:tcPr>
            <w:tcW w:w="451" w:type="pct"/>
            <w:vMerge w:val="restart"/>
            <w:shd w:val="clear" w:color="auto" w:fill="auto"/>
            <w:vAlign w:val="center"/>
          </w:tcPr>
          <w:p w14:paraId="6C0BA9E7">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10</w:t>
            </w:r>
          </w:p>
        </w:tc>
        <w:tc>
          <w:tcPr>
            <w:tcW w:w="1680" w:type="pct"/>
            <w:shd w:val="clear" w:color="auto" w:fill="auto"/>
            <w:vAlign w:val="center"/>
          </w:tcPr>
          <w:p w14:paraId="11AF884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参会委员满意度</w:t>
            </w:r>
          </w:p>
        </w:tc>
        <w:tc>
          <w:tcPr>
            <w:tcW w:w="464" w:type="pct"/>
            <w:shd w:val="clear" w:color="auto" w:fill="auto"/>
            <w:vAlign w:val="center"/>
          </w:tcPr>
          <w:p w14:paraId="3AE45D0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8</w:t>
            </w:r>
          </w:p>
        </w:tc>
        <w:tc>
          <w:tcPr>
            <w:tcW w:w="458" w:type="pct"/>
            <w:shd w:val="clear" w:color="auto" w:fill="auto"/>
            <w:noWrap/>
            <w:vAlign w:val="center"/>
          </w:tcPr>
          <w:p w14:paraId="3AEDC85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7.45</w:t>
            </w:r>
          </w:p>
        </w:tc>
      </w:tr>
      <w:tr w14:paraId="2113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94" w:type="pct"/>
            <w:vMerge w:val="continue"/>
            <w:shd w:val="clear" w:color="auto" w:fill="auto"/>
            <w:vAlign w:val="center"/>
          </w:tcPr>
          <w:p w14:paraId="1E780791">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32" w:type="pct"/>
            <w:vMerge w:val="continue"/>
            <w:shd w:val="clear" w:color="auto" w:fill="auto"/>
            <w:vAlign w:val="center"/>
          </w:tcPr>
          <w:p w14:paraId="482AD974">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819" w:type="pct"/>
            <w:vMerge w:val="continue"/>
            <w:shd w:val="clear" w:color="auto" w:fill="auto"/>
            <w:vAlign w:val="center"/>
          </w:tcPr>
          <w:p w14:paraId="7976D9F9">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451" w:type="pct"/>
            <w:vMerge w:val="continue"/>
            <w:shd w:val="clear" w:color="auto" w:fill="auto"/>
            <w:vAlign w:val="center"/>
          </w:tcPr>
          <w:p w14:paraId="6001520B">
            <w:pPr>
              <w:keepNext w:val="0"/>
              <w:keepLines w:val="0"/>
              <w:pageBreakBefore w:val="0"/>
              <w:kinsoku/>
              <w:wordWrap/>
              <w:overflowPunct/>
              <w:topLinePunct w:val="0"/>
              <w:autoSpaceDE/>
              <w:autoSpaceDN/>
              <w:bidi w:val="0"/>
              <w:spacing w:line="240" w:lineRule="auto"/>
              <w:jc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p>
        </w:tc>
        <w:tc>
          <w:tcPr>
            <w:tcW w:w="1680" w:type="pct"/>
            <w:shd w:val="clear" w:color="auto" w:fill="auto"/>
            <w:vAlign w:val="center"/>
          </w:tcPr>
          <w:p w14:paraId="6DA595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工作人员满意度</w:t>
            </w:r>
          </w:p>
        </w:tc>
        <w:tc>
          <w:tcPr>
            <w:tcW w:w="464" w:type="pct"/>
            <w:shd w:val="clear" w:color="auto" w:fill="auto"/>
            <w:vAlign w:val="center"/>
          </w:tcPr>
          <w:p w14:paraId="4754EA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2</w:t>
            </w:r>
          </w:p>
        </w:tc>
        <w:tc>
          <w:tcPr>
            <w:tcW w:w="458" w:type="pct"/>
            <w:shd w:val="clear" w:color="auto" w:fill="auto"/>
            <w:noWrap/>
            <w:vAlign w:val="center"/>
          </w:tcPr>
          <w:p w14:paraId="398792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Times New Roman" w:hAnsi="Times New Roman" w:eastAsia="宋体" w:cs="宋体"/>
                <w:b w:val="0"/>
                <w:bCs w:val="0"/>
                <w:i w:val="0"/>
                <w:iCs w:val="0"/>
                <w:color w:val="000000"/>
                <w:kern w:val="0"/>
                <w:sz w:val="24"/>
                <w:szCs w:val="24"/>
                <w:highlight w:val="none"/>
                <w:u w:val="none"/>
                <w:lang w:val="en-US" w:eastAsia="zh-CN" w:bidi="ar"/>
              </w:rPr>
            </w:pPr>
            <w:r>
              <w:rPr>
                <w:rFonts w:hint="eastAsia" w:ascii="Times New Roman" w:hAnsi="Times New Roman" w:eastAsia="宋体" w:cs="宋体"/>
                <w:b w:val="0"/>
                <w:bCs w:val="0"/>
                <w:i w:val="0"/>
                <w:iCs w:val="0"/>
                <w:color w:val="000000"/>
                <w:kern w:val="0"/>
                <w:sz w:val="24"/>
                <w:szCs w:val="24"/>
                <w:highlight w:val="none"/>
                <w:u w:val="none"/>
                <w:lang w:val="en-US" w:eastAsia="zh-CN" w:bidi="ar"/>
              </w:rPr>
              <w:t>1.24</w:t>
            </w:r>
          </w:p>
        </w:tc>
      </w:tr>
      <w:tr w14:paraId="0516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077" w:type="pct"/>
            <w:gridSpan w:val="5"/>
            <w:shd w:val="clear" w:color="auto" w:fill="auto"/>
            <w:noWrap/>
            <w:vAlign w:val="center"/>
          </w:tcPr>
          <w:p w14:paraId="291F6B9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合计</w:t>
            </w:r>
          </w:p>
        </w:tc>
        <w:tc>
          <w:tcPr>
            <w:tcW w:w="464" w:type="pct"/>
            <w:shd w:val="clear" w:color="auto" w:fill="auto"/>
            <w:noWrap/>
            <w:vAlign w:val="center"/>
          </w:tcPr>
          <w:p w14:paraId="5F7A888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29</w:t>
            </w:r>
          </w:p>
        </w:tc>
        <w:tc>
          <w:tcPr>
            <w:tcW w:w="458" w:type="pct"/>
            <w:shd w:val="clear" w:color="auto" w:fill="auto"/>
            <w:noWrap/>
            <w:vAlign w:val="center"/>
          </w:tcPr>
          <w:p w14:paraId="11509CD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default"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27.69</w:t>
            </w:r>
          </w:p>
        </w:tc>
      </w:tr>
    </w:tbl>
    <w:p w14:paraId="641A453A">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（1）社会效益</w:t>
      </w:r>
    </w:p>
    <w:p w14:paraId="16379716">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“维护法治促进民主发展提升性”指标分值6分，得分6分。</w:t>
      </w:r>
    </w:p>
    <w:p w14:paraId="56FBE89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在维护法治促进民主发展提升性方面取得了显著成效。一是维护法治。在立法工作方面，常委会共制定修订地方性法规40件、废止12件，这些法规涵盖了经济、生态环保、民生保障等多个领域，如兰州白银国家自主创新示范区、循环经济促进、产品质量监督管理、气象、农村能源和水土保持、单用途预付消费卡管理、安全生产、义务教育等条例，为全省的法治建设提供了坚实的法律基础。常委会严把立法质量关口，坚持针对问题立法、与时俱进修法，确保法规立得住、行得通、真管用。同时，加强备案审查工作，维护国家法治统一。在执法检查与监督方面，常委会开展了多项执法检查活动，如中小学校安全条例执法检查、人民调解法执法检查等，确保法律法规得到有效执行。通过听取审议“一府一委两院”工作报告、跟踪监督经济运行等方式，常委会对全省的法治建设进行了全面监督，促进了依法行政和公正司法。二是促进民主发展。常委会深入践行全过程人民民主，认真履行法定职责，广泛汇聚民智，主动担当作为，助力书写甘肃全面建设社会主义现代化新篇章。通过拓展代表联系交流平台、邀请代表参与立法修法、执法检查、视察调研等活动，常委会充分发挥了代表的主体作用，保障了人民的知情权、参与权、表达权和监督权。常委会健全了代表反映群众意见和诉求处理反馈机制，推进了“两联系”规范化制度化，进一步密切了代表与人民群众的联系。</w:t>
      </w:r>
      <w:r>
        <w:rPr>
          <w:rFonts w:hint="eastAsia" w:ascii="Times New Roman" w:hAnsi="Times New Roman" w:eastAsia="宋体" w:cs="宋体"/>
          <w:sz w:val="28"/>
          <w:szCs w:val="28"/>
          <w:highlight w:val="none"/>
          <w:lang w:val="en-US" w:eastAsia="zh-CN"/>
        </w:rPr>
        <w:t>综上所述，依据评分标准，该指标得6分。</w:t>
      </w:r>
    </w:p>
    <w:p w14:paraId="0022AA2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“民生经济发展保障性”指标分值6分，得分6分。</w:t>
      </w:r>
    </w:p>
    <w:p w14:paraId="330ED328">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甘肃省省常务会在民生经济发展保障性方面一直发挥着重要作用。</w:t>
      </w:r>
    </w:p>
    <w:p w14:paraId="623BC1A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一是加大民生投入，提升保障水平。甘肃省大代会常务委员会在制定经济社会发展规划时，始终把保障和改善民生作为重要内容。通过加大财政投入，提高民生支出占财政总支出的比重，确保民生工程得到有效实施。</w:t>
      </w:r>
    </w:p>
    <w:p w14:paraId="79B78363">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二是促进就业创业，增强民生动力。就业是民生之本。甘肃省大代会常务委员会高度重视就业问题，通过实施一系列就业创业政策，促进劳动力充分就业和高质量就业。一方面，鼓励和支持各类企业吸纳就业，特别是高校毕业生和农民工等重点群体；另一方面，加强职业技能培训和创业扶持，提高劳动者的就业创业能力。同时，还通过拓宽就业渠道、优化就业环境等措施，为劳动者提供更多就业机会和更好的就业条件。</w:t>
      </w:r>
    </w:p>
    <w:p w14:paraId="31F7084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三是完善社会保障体系，兜牢民生底线。社会保障是民生安全网。甘肃省大代会常务委员会不断完善社会保障体系，确保人民群众基本生活得到有效保障。通过提高城乡居民基本养老保险、基本医疗保险等社会保障制度的覆盖面和保障水平，减轻人民群众的生活负担。同时，还加强对困难群体的救助和帮扶力度，确保他们的基本生活得到妥善安排。</w:t>
      </w:r>
    </w:p>
    <w:p w14:paraId="0EA6DA1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kern w:val="2"/>
          <w:sz w:val="28"/>
          <w:szCs w:val="28"/>
          <w:highlight w:val="none"/>
          <w:lang w:val="en-US" w:eastAsia="zh-CN" w:bidi="ar-SA"/>
        </w:rPr>
        <w:t>四是推进教育医疗等社会事业发展，提升民生质量。教育、医疗等社会事业是民生的重要组成部分。甘肃省大代会常务委员会积极推进教育医疗等社会事业发展，提升民生质量。通过加大教育投入、优化教育资源配置、提高教育质量等措施，推动教育事业持续健康发展。同时，还加强医疗卫生服务体系建设、深化医药卫生体制改革、提高医疗服务水平等措施，保障人民群众的健康权益。五是加强生态环境保护，促进可持续发展。良好的生态环境是民生的重要保障。甘肃省大代会常务委员会高度重视生态环境保护工作，通过加强生态文明建设、推进绿色发展等方式，促进经济社会的可持续发展。通过实施一系列生态环境保护项目和政策措施，加强污染治理和生态修复工作力度，提高生态环境质量水平。同时，还加强环保宣传和教育工作力度，提高全社会的环保意识和参与度。</w:t>
      </w:r>
      <w:r>
        <w:rPr>
          <w:rFonts w:hint="eastAsia" w:ascii="Times New Roman" w:hAnsi="Times New Roman" w:eastAsia="宋体" w:cs="宋体"/>
          <w:sz w:val="28"/>
          <w:szCs w:val="28"/>
          <w:highlight w:val="none"/>
          <w:lang w:val="en-US" w:eastAsia="zh-CN"/>
        </w:rPr>
        <w:t>综上所述，依据评分标准，该指标得6分。</w:t>
      </w:r>
    </w:p>
    <w:p w14:paraId="5144A32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（2）可持续影响</w:t>
      </w:r>
    </w:p>
    <w:p w14:paraId="1427DB8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“长效管理机制健全性”指标分值4分，得分4分。</w:t>
      </w:r>
    </w:p>
    <w:p w14:paraId="09E2ABE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经项目组实地调研及问卷调查得知，</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甘肃省人民代表大会常务委员会2023年度省人大常委会会议费项目保障了会议正常开展，取得了圆满的成功。</w:t>
      </w:r>
      <w:r>
        <w:rPr>
          <w:rFonts w:hint="eastAsia" w:ascii="Times New Roman" w:hAnsi="Times New Roman" w:eastAsia="宋体" w:cs="宋体"/>
          <w:sz w:val="28"/>
          <w:szCs w:val="28"/>
          <w:highlight w:val="none"/>
          <w:lang w:val="en-US" w:eastAsia="zh-CN"/>
        </w:rPr>
        <w:t>综上所述，依据评分标准，该指标得3分。</w:t>
      </w:r>
    </w:p>
    <w:p w14:paraId="35B0EBB5">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“档案管理机制完备性”指标分值3分，得分3分。</w:t>
      </w:r>
    </w:p>
    <w:p w14:paraId="694D499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highlight w:val="none"/>
          <w:lang w:val="en-US" w:eastAsia="zh-CN"/>
        </w:rPr>
      </w:pPr>
      <w:r>
        <w:rPr>
          <w:rFonts w:hint="eastAsia" w:ascii="Times New Roman" w:hAnsi="Times New Roman" w:eastAsia="宋体" w:cs="宋体"/>
          <w:sz w:val="28"/>
          <w:szCs w:val="28"/>
          <w:highlight w:val="none"/>
          <w:lang w:val="en-US" w:eastAsia="zh-CN"/>
        </w:rPr>
        <w:t>经项目组实地调研得知，</w:t>
      </w:r>
      <w:r>
        <w:rPr>
          <w:rFonts w:hint="eastAsia" w:ascii="Times New Roman" w:hAnsi="Times New Roman" w:eastAsia="宋体" w:cs="宋体"/>
          <w:kern w:val="2"/>
          <w:sz w:val="28"/>
          <w:szCs w:val="28"/>
          <w:highlight w:val="none"/>
          <w:lang w:val="en-US" w:eastAsia="zh-CN" w:bidi="ar-SA"/>
        </w:rPr>
        <w:t>甘肃省人民代表大会常务委员会2023年度省人大常委会会议费项目建立了档案，且档案形成了专项管理。</w:t>
      </w:r>
      <w:r>
        <w:rPr>
          <w:rFonts w:hint="eastAsia" w:ascii="Times New Roman" w:hAnsi="Times New Roman" w:eastAsia="宋体" w:cs="宋体"/>
          <w:sz w:val="28"/>
          <w:szCs w:val="28"/>
          <w:highlight w:val="none"/>
          <w:lang w:val="en-US" w:eastAsia="zh-CN"/>
        </w:rPr>
        <w:t>综上所述，依据评分标准，该指标得3分。</w:t>
      </w:r>
    </w:p>
    <w:p w14:paraId="63271690">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（3）满意度</w:t>
      </w:r>
    </w:p>
    <w:p w14:paraId="14E3561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“参会委员满意度”指标分值8分，得分7.45分。</w:t>
      </w:r>
    </w:p>
    <w:p w14:paraId="65EB811C">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经项目组实地调研及问卷调查，根据满意度计算公式：</w:t>
      </w:r>
      <w:r>
        <w:rPr>
          <w:rFonts w:hint="eastAsia" w:ascii="Times New Roman" w:hAnsi="Times New Roman" w:eastAsia="宋体" w:cs="宋体"/>
          <w:sz w:val="28"/>
          <w:szCs w:val="28"/>
          <w:highlight w:val="none"/>
        </w:rPr>
        <w:t>满意度分数=非常满意比例×100+比较满意比例×80+基本满意×60+不太满意比例×40+非常不满意×0</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计算出</w:t>
      </w:r>
      <w:r>
        <w:rPr>
          <w:rFonts w:hint="eastAsia" w:ascii="Times New Roman" w:hAnsi="Times New Roman" w:eastAsia="宋体" w:cs="宋体"/>
          <w:sz w:val="28"/>
          <w:szCs w:val="28"/>
          <w:highlight w:val="none"/>
          <w:lang w:eastAsia="zh-CN"/>
        </w:rPr>
        <w:t>甘肃省人民代表大会常务委员会2023年度省人大常委会会议费项目</w:t>
      </w:r>
      <w:r>
        <w:rPr>
          <w:rFonts w:hint="eastAsia" w:ascii="Times New Roman" w:hAnsi="Times New Roman" w:eastAsia="宋体" w:cs="宋体"/>
          <w:sz w:val="28"/>
          <w:szCs w:val="28"/>
          <w:highlight w:val="none"/>
          <w:lang w:val="en-US" w:eastAsia="zh-CN"/>
        </w:rPr>
        <w:t>参会委员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95.11%</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依据评分标准，得7.45分。</w:t>
      </w:r>
    </w:p>
    <w:p w14:paraId="19366BC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“工作人员满意度”指标分值2分，得分1.24分。</w:t>
      </w:r>
    </w:p>
    <w:p w14:paraId="33DF0EBE">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经项目组实地调研及问卷调查，根据满意度计算公式：</w:t>
      </w:r>
      <w:r>
        <w:rPr>
          <w:rFonts w:hint="eastAsia" w:ascii="Times New Roman" w:hAnsi="Times New Roman" w:eastAsia="宋体" w:cs="宋体"/>
          <w:sz w:val="28"/>
          <w:szCs w:val="28"/>
          <w:highlight w:val="none"/>
        </w:rPr>
        <w:t>满意度分数=非常满意比例×100+比较满意比例×80+基本满意×60+不太满意比例×40+非常不满意×0</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rPr>
        <w:t>计算出</w:t>
      </w:r>
      <w:r>
        <w:rPr>
          <w:rFonts w:hint="eastAsia" w:ascii="Times New Roman" w:hAnsi="Times New Roman" w:eastAsia="宋体" w:cs="宋体"/>
          <w:sz w:val="28"/>
          <w:szCs w:val="28"/>
          <w:highlight w:val="none"/>
          <w:lang w:val="en-US" w:eastAsia="zh-CN"/>
        </w:rPr>
        <w:t>甘肃省人民代表大会常务委员会2023年度省人大常委会会议费项目工作人员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93.28%</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依据评分标准，得1.24分。</w:t>
      </w:r>
    </w:p>
    <w:p w14:paraId="670ADD1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61" w:name="_Toc12901"/>
      <w:bookmarkStart w:id="62" w:name="_Toc5177"/>
      <w:bookmarkStart w:id="63" w:name="_Toc30255"/>
      <w:bookmarkStart w:id="64" w:name="_Toc3705"/>
      <w:r>
        <w:rPr>
          <w:rFonts w:hint="eastAsia" w:ascii="Times New Roman" w:hAnsi="Times New Roman" w:eastAsia="宋体" w:cs="宋体"/>
          <w:b/>
          <w:bCs/>
          <w:color w:val="000000"/>
          <w:kern w:val="0"/>
          <w:sz w:val="28"/>
          <w:szCs w:val="28"/>
          <w:highlight w:val="none"/>
          <w:lang w:val="en-US" w:eastAsia="zh-CN" w:bidi="ar"/>
        </w:rPr>
        <w:t>四、评价结论</w:t>
      </w:r>
      <w:bookmarkEnd w:id="61"/>
      <w:bookmarkEnd w:id="62"/>
      <w:bookmarkEnd w:id="63"/>
      <w:bookmarkEnd w:id="64"/>
    </w:p>
    <w:p w14:paraId="7F1C3A2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甘肃省人民代表大会常务委员会2023年度省人大常委会会议费项目</w:t>
      </w:r>
      <w:r>
        <w:rPr>
          <w:rFonts w:hint="eastAsia" w:ascii="Times New Roman" w:hAnsi="Times New Roman" w:eastAsia="宋体" w:cs="宋体"/>
          <w:kern w:val="2"/>
          <w:sz w:val="28"/>
          <w:szCs w:val="28"/>
          <w:highlight w:val="none"/>
          <w:lang w:val="en-US" w:eastAsia="zh-CN" w:bidi="ar-SA"/>
        </w:rPr>
        <w:t>绩效评价得分</w:t>
      </w:r>
      <w:r>
        <w:rPr>
          <w:rFonts w:hint="eastAsia" w:ascii="Times New Roman" w:hAnsi="Times New Roman" w:eastAsia="宋体" w:cs="宋体"/>
          <w:b/>
          <w:bCs/>
          <w:kern w:val="2"/>
          <w:sz w:val="28"/>
          <w:szCs w:val="28"/>
          <w:highlight w:val="none"/>
          <w:lang w:val="en-US" w:eastAsia="zh-CN" w:bidi="ar-SA"/>
        </w:rPr>
        <w:t>96.49</w:t>
      </w:r>
      <w:r>
        <w:rPr>
          <w:rFonts w:hint="eastAsia" w:ascii="Times New Roman" w:hAnsi="Times New Roman" w:eastAsia="宋体" w:cs="宋体"/>
          <w:kern w:val="2"/>
          <w:sz w:val="28"/>
          <w:szCs w:val="28"/>
          <w:highlight w:val="none"/>
          <w:lang w:val="en-US" w:eastAsia="zh-CN" w:bidi="ar-SA"/>
        </w:rPr>
        <w:t>分，评价结果为“</w:t>
      </w:r>
      <w:r>
        <w:rPr>
          <w:rFonts w:hint="eastAsia" w:ascii="Times New Roman" w:hAnsi="Times New Roman" w:eastAsia="宋体" w:cs="宋体"/>
          <w:b/>
          <w:bCs/>
          <w:kern w:val="2"/>
          <w:sz w:val="28"/>
          <w:szCs w:val="28"/>
          <w:highlight w:val="none"/>
          <w:lang w:val="en-US" w:eastAsia="zh-CN" w:bidi="ar-SA"/>
        </w:rPr>
        <w:t>优</w:t>
      </w:r>
      <w:r>
        <w:rPr>
          <w:rFonts w:hint="eastAsia" w:ascii="Times New Roman" w:hAnsi="Times New Roman" w:eastAsia="宋体" w:cs="宋体"/>
          <w:kern w:val="2"/>
          <w:sz w:val="28"/>
          <w:szCs w:val="28"/>
          <w:highlight w:val="none"/>
          <w:lang w:val="en-US" w:eastAsia="zh-CN" w:bidi="ar-SA"/>
        </w:rPr>
        <w:t>”。</w:t>
      </w:r>
    </w:p>
    <w:p w14:paraId="4FEB453E">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rPr>
          <w:rFonts w:hint="eastAsia" w:ascii="Times New Roman" w:hAnsi="Times New Roman" w:eastAsia="宋体" w:cs="宋体"/>
          <w:highlight w:val="none"/>
          <w:lang w:val="en-US"/>
        </w:rPr>
      </w:pPr>
      <w:r>
        <w:rPr>
          <w:rFonts w:hint="eastAsia" w:ascii="Times New Roman" w:hAnsi="Times New Roman" w:eastAsia="宋体" w:cs="宋体"/>
          <w:b/>
          <w:bCs/>
          <w:kern w:val="2"/>
          <w:sz w:val="28"/>
          <w:szCs w:val="28"/>
          <w:highlight w:val="none"/>
          <w:lang w:val="en-US" w:eastAsia="zh-CN" w:bidi="ar-SA"/>
        </w:rPr>
        <w:t>总体认为：</w:t>
      </w:r>
      <w:r>
        <w:rPr>
          <w:rFonts w:hint="eastAsia" w:ascii="Times New Roman" w:hAnsi="Times New Roman" w:eastAsia="宋体" w:cs="宋体"/>
          <w:sz w:val="28"/>
          <w:szCs w:val="28"/>
          <w:highlight w:val="none"/>
          <w:lang w:val="en-US" w:eastAsia="zh-CN"/>
        </w:rPr>
        <w:t>甘肃省人民代表大会常务委员会2023年度省人大常委会会议费项目</w:t>
      </w:r>
      <w:r>
        <w:rPr>
          <w:rFonts w:hint="eastAsia" w:ascii="Times New Roman" w:hAnsi="Times New Roman" w:eastAsia="宋体" w:cs="宋体"/>
          <w:b w:val="0"/>
          <w:bCs w:val="0"/>
          <w:kern w:val="2"/>
          <w:sz w:val="28"/>
          <w:szCs w:val="28"/>
          <w:highlight w:val="none"/>
          <w:lang w:val="en-US" w:eastAsia="zh-CN" w:bidi="ar-SA"/>
        </w:rPr>
        <w:t>的设立符合国家及省级的相关政策，</w:t>
      </w:r>
      <w:r>
        <w:rPr>
          <w:rFonts w:hint="eastAsia" w:ascii="Times New Roman" w:hAnsi="Times New Roman" w:eastAsia="宋体" w:cs="宋体"/>
          <w:sz w:val="28"/>
          <w:szCs w:val="28"/>
          <w:highlight w:val="none"/>
          <w:lang w:val="en-US" w:eastAsia="zh-CN"/>
        </w:rPr>
        <w:t>甘肃省人民代表大会常务委员会2023年度省人大常委会会议费项目</w:t>
      </w:r>
      <w:r>
        <w:rPr>
          <w:rFonts w:hint="eastAsia" w:ascii="Times New Roman" w:hAnsi="Times New Roman" w:eastAsia="宋体" w:cs="宋体"/>
          <w:b w:val="0"/>
          <w:bCs w:val="0"/>
          <w:kern w:val="2"/>
          <w:sz w:val="28"/>
          <w:szCs w:val="28"/>
          <w:highlight w:val="none"/>
          <w:lang w:val="en-US" w:eastAsia="zh-CN" w:bidi="ar-SA"/>
        </w:rPr>
        <w:t>工作如期完成，项目管理制度健全完善，有效保障了会议的举办；项目严格按照相关要求完成了参会人员的交通出行保障，会议</w:t>
      </w:r>
      <w:r>
        <w:rPr>
          <w:rFonts w:hint="eastAsia" w:ascii="Times New Roman" w:hAnsi="Times New Roman" w:eastAsia="宋体" w:cs="宋体"/>
          <w:b w:val="0"/>
          <w:kern w:val="2"/>
          <w:sz w:val="28"/>
          <w:szCs w:val="28"/>
          <w:highlight w:val="none"/>
          <w:lang w:val="en-US" w:eastAsia="zh-CN" w:bidi="ar-SA"/>
        </w:rPr>
        <w:t>办公用品购置工作等，</w:t>
      </w:r>
      <w:r>
        <w:rPr>
          <w:rFonts w:hint="eastAsia" w:ascii="Times New Roman" w:hAnsi="Times New Roman" w:eastAsia="宋体" w:cs="宋体"/>
          <w:kern w:val="2"/>
          <w:sz w:val="28"/>
          <w:szCs w:val="28"/>
          <w:highlight w:val="none"/>
          <w:lang w:val="en-US" w:eastAsia="zh-CN" w:bidi="ar-SA"/>
        </w:rPr>
        <w:t>保障了甘肃省大代会常务委员会的正常开展，推动了政务任务实现，同时加强宣传工作使得甘肃省大代会常务委员会的会议精神得到了有效传达和贯彻落实。一方面，提高了群众的政治觉悟和参与度；另一方面，也推动了各项工作的顺利开展和民生问题的有效解决。</w:t>
      </w:r>
      <w:r>
        <w:rPr>
          <w:rFonts w:hint="eastAsia" w:ascii="Times New Roman" w:hAnsi="Times New Roman" w:eastAsia="宋体" w:cs="宋体"/>
          <w:sz w:val="28"/>
          <w:szCs w:val="28"/>
          <w:highlight w:val="none"/>
          <w:lang w:val="en-US" w:eastAsia="zh-CN"/>
        </w:rPr>
        <w:t>但在项目具体实施过程中，仍存在部分不足，例如：预算执行率未达到目标值等。</w:t>
      </w:r>
    </w:p>
    <w:p w14:paraId="08BAFBE5">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65" w:name="_Toc22432"/>
      <w:bookmarkStart w:id="66" w:name="_Toc16560"/>
      <w:bookmarkStart w:id="67" w:name="_Toc1095"/>
      <w:bookmarkStart w:id="68" w:name="_Toc13319"/>
      <w:bookmarkStart w:id="69" w:name="_Toc11913"/>
      <w:r>
        <w:rPr>
          <w:rFonts w:hint="eastAsia" w:ascii="Times New Roman" w:hAnsi="Times New Roman" w:eastAsia="宋体" w:cs="宋体"/>
          <w:b/>
          <w:bCs/>
          <w:color w:val="000000"/>
          <w:kern w:val="0"/>
          <w:sz w:val="28"/>
          <w:szCs w:val="28"/>
          <w:highlight w:val="none"/>
          <w:lang w:val="en-US" w:eastAsia="zh-CN" w:bidi="ar"/>
        </w:rPr>
        <w:t>五、主要经验及做法</w:t>
      </w:r>
      <w:bookmarkEnd w:id="65"/>
      <w:bookmarkEnd w:id="66"/>
      <w:bookmarkEnd w:id="67"/>
      <w:bookmarkEnd w:id="68"/>
      <w:bookmarkEnd w:id="69"/>
    </w:p>
    <w:p w14:paraId="5D17030A">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70" w:name="_Toc23622"/>
      <w:bookmarkStart w:id="71" w:name="_Toc11375"/>
      <w:bookmarkStart w:id="72" w:name="_Toc19817"/>
      <w:bookmarkStart w:id="73" w:name="_Toc23864"/>
      <w:bookmarkStart w:id="74" w:name="_Toc13123"/>
      <w:bookmarkStart w:id="75" w:name="_Toc29521"/>
      <w:r>
        <w:rPr>
          <w:rFonts w:hint="eastAsia" w:ascii="Times New Roman" w:hAnsi="Times New Roman" w:eastAsia="宋体" w:cs="宋体"/>
          <w:b/>
          <w:bCs/>
          <w:color w:val="000000"/>
          <w:kern w:val="0"/>
          <w:sz w:val="28"/>
          <w:szCs w:val="28"/>
          <w:highlight w:val="none"/>
          <w:lang w:val="en-US" w:eastAsia="zh-CN" w:bidi="ar"/>
        </w:rPr>
        <w:t>（一）</w:t>
      </w:r>
      <w:bookmarkEnd w:id="70"/>
      <w:bookmarkEnd w:id="71"/>
      <w:r>
        <w:rPr>
          <w:rFonts w:hint="eastAsia" w:ascii="Times New Roman" w:hAnsi="Times New Roman" w:eastAsia="宋体" w:cs="宋体"/>
          <w:b/>
          <w:bCs/>
          <w:color w:val="000000"/>
          <w:kern w:val="0"/>
          <w:sz w:val="28"/>
          <w:szCs w:val="28"/>
          <w:highlight w:val="none"/>
          <w:lang w:val="en-US" w:eastAsia="zh-CN" w:bidi="ar"/>
        </w:rPr>
        <w:t>创新工作形式，推动代表工作实起来活起来</w:t>
      </w:r>
      <w:bookmarkEnd w:id="72"/>
    </w:p>
    <w:p w14:paraId="392544A3">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bCs/>
          <w:color w:val="000000"/>
          <w:kern w:val="0"/>
          <w:sz w:val="28"/>
          <w:szCs w:val="28"/>
          <w:highlight w:val="none"/>
          <w:lang w:val="en-US" w:eastAsia="zh-CN" w:bidi="ar"/>
        </w:rPr>
        <w:t>建章立制，代表工作规范高效。</w:t>
      </w:r>
      <w:r>
        <w:rPr>
          <w:rFonts w:hint="eastAsia" w:ascii="Times New Roman" w:hAnsi="Times New Roman" w:eastAsia="宋体" w:cs="宋体"/>
          <w:b w:val="0"/>
          <w:bCs w:val="0"/>
          <w:color w:val="000000"/>
          <w:kern w:val="0"/>
          <w:sz w:val="28"/>
          <w:szCs w:val="28"/>
          <w:highlight w:val="none"/>
          <w:lang w:val="en-US" w:eastAsia="zh-CN" w:bidi="ar"/>
        </w:rPr>
        <w:t>把健全完善制度规定作为推动代表工作有序开展的保障，按照常委会安排部署，制定了《甘肃省人大常委会关于新时代加强“两联系”工作的若干意见》《甘肃省十四届人大常委会组成人员联系省人大代表的意见》《甘肃省第十四届全国人大代表参加代表小组活动的意见》等文件，修改了《甘肃省人民代表大会常务委员会人事任免办法》，制定了省十四届人大代表培训五年规划和年度培训计划。设计印制了省人大代表履职登记本，积极推进省人大代表履职档案规范化建设。</w:t>
      </w:r>
    </w:p>
    <w:p w14:paraId="4F3DB56C">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bCs/>
          <w:color w:val="000000"/>
          <w:kern w:val="0"/>
          <w:sz w:val="28"/>
          <w:szCs w:val="28"/>
          <w:highlight w:val="none"/>
          <w:lang w:val="en-US" w:eastAsia="zh-CN" w:bidi="ar"/>
        </w:rPr>
        <w:t>丰富内容，代表培训有量“有料”。</w:t>
      </w:r>
      <w:r>
        <w:rPr>
          <w:rFonts w:hint="eastAsia" w:ascii="Times New Roman" w:hAnsi="Times New Roman" w:eastAsia="宋体" w:cs="宋体"/>
          <w:b w:val="0"/>
          <w:bCs w:val="0"/>
          <w:color w:val="000000"/>
          <w:kern w:val="0"/>
          <w:sz w:val="28"/>
          <w:szCs w:val="28"/>
          <w:highlight w:val="none"/>
          <w:lang w:val="en-US" w:eastAsia="zh-CN" w:bidi="ar"/>
        </w:rPr>
        <w:t>省人大常委会高度重视代表学习培训工作，特别是面对省十四届人大代表履职第一年、代表初任培训任务重要求高、代表参加学习培训热情高涨的实际，系统谋划，高位推动，积极为代表培训学习创造良好条件、提供优质保障，精心研究制定了4+1代表培训计划，即：4期实体班（包括省人大民侨委主办的1期少数民族代表培训班）、1期网络班。在培训课程设置上主要安排了习近平新时代中国特色社会主义思想，宪法，人民代表大会制度，党的二十大精神，省第十四次党代会精神和省委十四届二次全会精神，2023年全省重大建设项目基本情况及政策介绍，新时代人大代表如何履职、如何审议政府工作报告、如何审查计划、预算报告、如何提出高质量议案建议等。“有的放矢、量身定制、灵活创新”是许多代表对学习培训的亲身感受。一年来，共有近300人次的省人大代表参加了线下学习培训，做到了基层代表初任培训全覆盖，受到代表普遍好评，也为代表履职夯实了根基、增强了底气。</w:t>
      </w:r>
    </w:p>
    <w:p w14:paraId="58CE4DA6">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bCs/>
          <w:color w:val="000000"/>
          <w:kern w:val="0"/>
          <w:sz w:val="28"/>
          <w:szCs w:val="28"/>
          <w:highlight w:val="none"/>
          <w:lang w:val="en-US" w:eastAsia="zh-CN" w:bidi="ar"/>
        </w:rPr>
        <w:t>拓展渠道，“两联系”加强改进。</w:t>
      </w:r>
      <w:r>
        <w:rPr>
          <w:rFonts w:hint="eastAsia" w:ascii="Times New Roman" w:hAnsi="Times New Roman" w:eastAsia="宋体" w:cs="宋体"/>
          <w:b w:val="0"/>
          <w:bCs w:val="0"/>
          <w:color w:val="000000"/>
          <w:kern w:val="0"/>
          <w:sz w:val="28"/>
          <w:szCs w:val="28"/>
          <w:highlight w:val="none"/>
          <w:lang w:val="en-US" w:eastAsia="zh-CN" w:bidi="ar"/>
        </w:rPr>
        <w:t>“两联系”是代表工作的重点和难点。第一批主题教育开展以来，省人大常委会把加强改进“两联系”工作确定为“破难题、促发展，办实事、解民忧”重点任务之一，常委会领导亲自带队调研，研究形成高质量的调研报告，为改进“两联系”工作指明了方向。制定出台《省十四届人大常委会组成人员联系省人大代表的意见》，保障常委会组成人员联系219名基层代表全覆盖。积极开拓创新，不断健全吸纳民意、汇集民智工作机制，在省人大常委会会议期间创新建立列席代表“两带来”，建立代表意见“直通车”，每次邀请15名代表列席会议，听取列席代表带来当地人民群众普遍关注的问题、带来对新时代地方人大工作的建议。一年来，共有75名省人大代表列席了5次省人大常委会会议，提出‘两带来’意见建议137件，已转送相关部门认真研究、积极采纳。2023年6月至9月，省人大常委会组织开展三级人大、四级代表联动开展“千名代表调研视察千项工程行动”（“双千行动”），选配131名代表参加省级视察调研活动。“双千行动”让人大代表深入到项目建设一线，通过“八看五分析”，看现场、听介绍、问情况、找问题、议办法，进一步促进项目落地大提速、营商环境大改善，为全省经济社会高质量发展贡献代表力量。结合工作调研，指导加强全省代表家站建设，为代表联系群众提供支持和保障。目前全省已建成7000多个代表家站，实现了代表常态化进站联系群众。</w:t>
      </w:r>
    </w:p>
    <w:p w14:paraId="61311AE1">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bCs/>
          <w:color w:val="000000"/>
          <w:kern w:val="0"/>
          <w:sz w:val="28"/>
          <w:szCs w:val="28"/>
          <w:highlight w:val="none"/>
          <w:lang w:val="en-US" w:eastAsia="zh-CN" w:bidi="ar"/>
        </w:rPr>
        <w:t>全程监督，建议办理提质增效。</w:t>
      </w:r>
      <w:r>
        <w:rPr>
          <w:rFonts w:hint="eastAsia" w:ascii="Times New Roman" w:hAnsi="Times New Roman" w:eastAsia="宋体" w:cs="宋体"/>
          <w:b w:val="0"/>
          <w:bCs w:val="0"/>
          <w:color w:val="000000"/>
          <w:kern w:val="0"/>
          <w:sz w:val="28"/>
          <w:szCs w:val="28"/>
          <w:highlight w:val="none"/>
          <w:lang w:val="en-US" w:eastAsia="zh-CN" w:bidi="ar"/>
        </w:rPr>
        <w:t>民有所呼、我有所应。代表建议传递着人民的呼声、凝聚着人民的期盼。把提出高质量建议作为代表有效履职的重要标准，建立了全流程代表建议办理机制，紧扣“内容高质量、办理高质量”要求，认真落实“会前征集、预研把关、修改完善、会中提交”工作机制，坚持省委省政府主要领导和省人大常委会副主任、秘书长带头督办、省人大各专门委员会参与督办、代表联络部门统筹督办等有效做法，推动承办单位与代表的全过程沟通，加强全链条监督，省十四届人大一次会议召开后，将代表提出的560件建议交61家承办单位办理。日常工作中加强与各承办单位以及代表的联系沟通，督促各承办单位高质高效做好建议办理工作，去年6月份，组织召开了代表建议办理情况座谈会，7月底，省十四届人大一次会议期间代表提出的560件建议全部办理答复完毕，推动解决了一批产业发展、城乡融合、基础建设、民生保障等问题，确保代表呼声有回应、群众期盼有着落。9月份，省十四届人大常委会第五次会议听取和审议了省政府以及省发展改革委、省交通运输厅关于代表建议办理情况的报告，并组织开展了对两家承办单位的满意度测评。11月份，向省十四届人大常委会第六次会议报告了2023年代表建议工作情况，得到常委会组成人员的肯定。</w:t>
      </w:r>
    </w:p>
    <w:p w14:paraId="57AA180D">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bCs/>
          <w:color w:val="000000"/>
          <w:kern w:val="0"/>
          <w:sz w:val="28"/>
          <w:szCs w:val="28"/>
          <w:highlight w:val="none"/>
          <w:lang w:val="en-US" w:eastAsia="zh-CN" w:bidi="ar"/>
        </w:rPr>
        <w:t>强化服务，保障在甘全国人大代表依法履职。</w:t>
      </w:r>
      <w:r>
        <w:rPr>
          <w:rFonts w:hint="eastAsia" w:ascii="Times New Roman" w:hAnsi="Times New Roman" w:eastAsia="宋体" w:cs="宋体"/>
          <w:b w:val="0"/>
          <w:bCs w:val="0"/>
          <w:color w:val="000000"/>
          <w:kern w:val="0"/>
          <w:sz w:val="28"/>
          <w:szCs w:val="28"/>
          <w:highlight w:val="none"/>
          <w:lang w:val="en-US" w:eastAsia="zh-CN" w:bidi="ar"/>
        </w:rPr>
        <w:t>完成在甘全国人大代表会前集中研读讨论立法法修订草案、代表初任培训、集中视察以及赴京出席十四届全国人大一次会议的服务保障等各项工作。大会期间，甘肃代表团共提出议案3件、建议180件，其中以全团名义提出重点建议10件，5件被列为全国人大常委会2023年重点督办建议。做好在甘全国人大代表宣讲“两会”精神协调及信息报送工作，42条宣讲信息被全国人大代表工作信息化平台采用转发，1篇报道被全国人大联络动态专题刊登；推荐并服务保障19名在甘全国人大代表参加全国人大组织的5期培训班；与省人大环资委共同组织代表对湿地保护法贯彻实施情况开展专题调研。9月份，配合常委会办公厅圆满完成香港特别行政区全国人大代表来甘视察的服务保障工作，展示了陇原儿女推进中国式现代化甘肃实践的有力作为，展示了甘肃经济社会高质量发展取得的显著成效，收到良好效果，得到了全国人大常委会代表工委和香港全国人大代表的充分肯定。</w:t>
      </w:r>
    </w:p>
    <w:p w14:paraId="1A1E9522">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bCs/>
          <w:color w:val="000000"/>
          <w:kern w:val="0"/>
          <w:sz w:val="28"/>
          <w:szCs w:val="28"/>
          <w:highlight w:val="none"/>
          <w:lang w:val="en-US" w:eastAsia="zh-CN" w:bidi="ar"/>
        </w:rPr>
        <w:t>创新载体，信息化建设有序推进。</w:t>
      </w:r>
      <w:r>
        <w:rPr>
          <w:rFonts w:hint="eastAsia" w:ascii="Times New Roman" w:hAnsi="Times New Roman" w:eastAsia="宋体" w:cs="宋体"/>
          <w:b w:val="0"/>
          <w:bCs w:val="0"/>
          <w:color w:val="000000"/>
          <w:kern w:val="0"/>
          <w:sz w:val="28"/>
          <w:szCs w:val="28"/>
          <w:highlight w:val="none"/>
          <w:lang w:val="en-US" w:eastAsia="zh-CN" w:bidi="ar"/>
        </w:rPr>
        <w:t>按照常委会领导提出的“便捷实用、删繁就简、以用促改、逐步完善”的思路，加强与办公厅宣信处对接、与开发单位沟通交流，全力推进代表履职平台升级改造。11月底甘肃省人大代表履职平台开通上线，平台的使用范围将从国、省两级代表逐步拓展到了五级人大代表，同时增加了移动端、微信小程序及家站建设等功能，努力以信息化为代表工作赋能增效。</w:t>
      </w:r>
    </w:p>
    <w:p w14:paraId="79E77D47">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76" w:name="_Toc1639"/>
      <w:r>
        <w:rPr>
          <w:rFonts w:hint="eastAsia" w:ascii="Times New Roman" w:hAnsi="Times New Roman" w:eastAsia="宋体" w:cs="宋体"/>
          <w:b/>
          <w:bCs/>
          <w:color w:val="000000"/>
          <w:kern w:val="0"/>
          <w:sz w:val="28"/>
          <w:szCs w:val="28"/>
          <w:highlight w:val="none"/>
          <w:lang w:val="en-US" w:eastAsia="zh-CN" w:bidi="ar"/>
        </w:rPr>
        <w:t>（二）</w:t>
      </w:r>
      <w:bookmarkEnd w:id="73"/>
      <w:bookmarkEnd w:id="74"/>
      <w:bookmarkEnd w:id="75"/>
      <w:r>
        <w:rPr>
          <w:rFonts w:hint="eastAsia" w:ascii="Times New Roman" w:hAnsi="Times New Roman" w:eastAsia="宋体" w:cs="宋体"/>
          <w:b/>
          <w:bCs/>
          <w:color w:val="000000"/>
          <w:kern w:val="0"/>
          <w:sz w:val="28"/>
          <w:szCs w:val="28"/>
          <w:highlight w:val="none"/>
          <w:lang w:val="en-US" w:eastAsia="zh-CN" w:bidi="ar"/>
        </w:rPr>
        <w:t>全过程全链条全领域规范地方立法工作</w:t>
      </w:r>
      <w:bookmarkEnd w:id="76"/>
    </w:p>
    <w:p w14:paraId="7703A86C">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甘肃省人大常委会出台《甘肃省新时代提高地方立法质量工作办法》（以下简称《办法》），率先在全国比较系统地细化了地方性法规质量标准的内容，从政治性、合宪性、合法性、合理性、操作性、规范性、特色性等方面对地方立法工作提出了规范化要求。</w:t>
      </w:r>
    </w:p>
    <w:p w14:paraId="4B938077">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质量是地方立法的灵魂。党的二十大报告强调，推进科学立法、民主立法、依法立法，统筹立改废释纂，增强立法系统性、整体性、协同性、时效性。进入新时代，“良法善治”成为我国立法的全新价值追求，开启了以精细化为标志的高质量立法阶段。为此，从国家到地方建立科学的立法质量标准非常必要。</w:t>
      </w:r>
    </w:p>
    <w:p w14:paraId="16F66791">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办法》的出台，是甘肃省人大常委会深入贯彻落实党的二十大精神，践行全过程人民民主重大理念，贯彻落实立法法，深入推进科学立法、民主立法、依法立法的具体实践，为新时代进一步提高地方立法质量和效率、在法治轨道上全面建设社会主义现代化幸福美好新甘肃提供了有力制度支撑。</w:t>
      </w:r>
    </w:p>
    <w:p w14:paraId="650ECB6E">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小智治事，大智治制。甘肃省十四届人大常委会履新以来，对标党中央重大决策部署、全国人大重要工作部署和省委工作安排，对标推动全省人大工作进入全国第一方阵目标，以推进学习贯彻习近平新时代中国特色社会主义思想主题教育走深走实、贯彻落实甘肃省‘三抓三促’行动为契机，“当下改”与“长久立”相结合，力破难题做大“成果清单”，对全省立法工作进行“脉络式”梳理，着力健全机制，提高地方立法质量和效率。</w:t>
      </w:r>
    </w:p>
    <w:p w14:paraId="2F44DE95">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在省人大常委会党组的精心组织和全国人大常委会法工委、办公厅的精心指导下，《办法》历时10个多月，先后提请常委会党组会议、主任会议研究，召开专家论证会进行论证，并提交全省立法工作座谈会、省十三届人大常委会第三十四次会议进行讨论，广泛征求了各方意见。</w:t>
      </w:r>
    </w:p>
    <w:p w14:paraId="43C060D4">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办法》分为总则、地方性法规质量标准和要求、立法全过程质量规范和责任、立法质量保障措施和附则，共五章七十六条，自2023年5月1日起施行。《办法》明确了地方立法质量标准和要求，突出了立法全过程质量规范，细化了立法各环节的具体程序、重点任务和工作责任，强化了立法工作机制保障措施。</w:t>
      </w:r>
    </w:p>
    <w:p w14:paraId="17C2744A">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在总则中，《办法》首先明确了提高地方立法质量应当遵循的六条“管总”原则：坚持党的全面领导，坚持以人民为中心，坚持立法公开，坚持维护社会主义法治的统一、尊严、权威，坚持倡导和弘扬社会主义核心价值观，坚持有特色、可操作。</w:t>
      </w:r>
    </w:p>
    <w:p w14:paraId="13A6AC2E">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关于法规质量标准和要求，《办法》依据《中华人民共和国立法法》《甘肃省地方立法条例》相关规定，参照全国人大常委会委员长会议通过的《法规、司法解释备案审查工作办法》，从政治性、合法性、适当性标准和规范性、协调性、操作性及有特色要求等方面，细化提出了管总的法规质量标准和要求，体现针对性，突出可操作性。</w:t>
      </w:r>
    </w:p>
    <w:p w14:paraId="394449E6">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关于立法全过程质量规范和责任，《办法》主要从法规立项、起草、审查、议案、审议及表决、公布和报备等立法各环节，细化明确了相关工作程序和工作责任。</w:t>
      </w:r>
    </w:p>
    <w:p w14:paraId="42563BEF">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针对法规立项环节，《办法》细化了法规建议项目立项的具体要求和可以优先安排审议的具体情形，并明确不符合立项要求的，不予立项。对立法建议项目提出单位、省司法厅、省人大有关专委会、省人大法制委和常委会法工委，在立项环节应当开展的工作，《办法》也分别作了细化，提出了明确要求。</w:t>
      </w:r>
    </w:p>
    <w:p w14:paraId="1A978696">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针对法规起草环节，《办法》细化了起草方式、起草要求等，并将实践中行之有效的“起草专班+双组长制”的做法予以明确。法规审查环节，《办法》进一步明确了审查的重点内容。</w:t>
      </w:r>
    </w:p>
    <w:p w14:paraId="6407D7EC">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针对提出法规案环节，《办法》对法规案的提出作出明确规定，对草案说明应当包括的主要内容进行了细化，并参照全国人大的做法，明确“向省人民代表大会提出的法规案，省人大常委会可以组织代表研读讨论法规草案，征求人大代表的意见”。</w:t>
      </w:r>
    </w:p>
    <w:p w14:paraId="452F1F3B">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针对法规审议环节，《办法》细化了省人大有关专委会在初审环节应当开展的重点工作，明确了省人大常委会会议对法规案的重点审议内容，明确“法规草案一审后，对于因各方面对法规制定或者修改的必要性、可行性等重大问题存在较大意见分歧，需要进一步研究、不宜继续审议的，经省人大常委会主任会议决定，可以延期审议或者搁置审议”，提炼总结了省人大法制委、常委会法工委在法规一审后应当开展的重点工作及法制委的统一审议重点等。</w:t>
      </w:r>
    </w:p>
    <w:p w14:paraId="43D12A89">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关于立法质量保障措施，《办法》主要从健全完善立法机制、丰富立法形式、法规清理和立法后评估、立法能力建设等四个方面，细化了保障立法质量的具体措施，对健全完善立法协调、调研论证、听证、公众参与、立法协商、立法评估等工作机制进行规范，确保提高立法的针对性、及时性、系统性和可操作性。</w:t>
      </w:r>
    </w:p>
    <w:p w14:paraId="185C7C91">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基层立法联系点，一头连着立法机关，一头连着基层群众，是发展全过程人民民主的一个缩影。《办法》中明确，“健全基层立法联系点制度”，实现各市（州）联系点全覆盖，优化组织结构，健全运行机制，提升能力素质，充分发挥联系点接地气、察民情、聚民智的“直通车”作用。</w:t>
      </w:r>
    </w:p>
    <w:p w14:paraId="7807610C">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针对丰富立法形式，《办法》明确，根据实际情况，可以灵活运用制定、修改、废止、解释和编纂法规等多种形式，提高立法效能。《办法》提出，建立区域协同立法工作机制，就区域性、流域性、共同性事项开展协同立法。同时，《办法》明确，充分利用大数据、云计算、人工智能等新技术，开展立法需求及社情民意调查，加强统计分析和量化论证，探索实践智能起草、智能比对等智慧立法形式。</w:t>
      </w:r>
    </w:p>
    <w:p w14:paraId="21DA67AC">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办法》对开展法规清理和立法后评估、加强立法能力建设作出了具体规定，尤其是《办法》中明确提出，注重引进和培养相结合，选优配强与新时代立法任务相适应的立法工作人员，努力打造一支政治坚定、业务精通、纪律严明、作风优良的立法队伍。同时，《办法》提出，加强省人大常委会组成人员、专门委员会组成人员、人大代表的立法能力培训，熟悉立法知识，掌握立法技能，提高审议法规水平。</w:t>
      </w:r>
    </w:p>
    <w:p w14:paraId="2F76070C">
      <w:pPr>
        <w:keepNext w:val="0"/>
        <w:keepLines w:val="0"/>
        <w:pageBreakBefore w:val="0"/>
        <w:widowControl/>
        <w:suppressLineNumbers w:val="0"/>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Times New Roman" w:hAnsi="Times New Roman" w:eastAsia="宋体" w:cs="宋体"/>
          <w:b w:val="0"/>
          <w:bCs w:val="0"/>
          <w:color w:val="000000"/>
          <w:kern w:val="0"/>
          <w:sz w:val="28"/>
          <w:szCs w:val="28"/>
          <w:highlight w:val="none"/>
          <w:lang w:val="en-US" w:eastAsia="zh-CN" w:bidi="ar"/>
        </w:rPr>
      </w:pPr>
      <w:r>
        <w:rPr>
          <w:rFonts w:hint="eastAsia" w:ascii="Times New Roman" w:hAnsi="Times New Roman" w:eastAsia="宋体" w:cs="宋体"/>
          <w:b w:val="0"/>
          <w:bCs w:val="0"/>
          <w:color w:val="000000"/>
          <w:kern w:val="0"/>
          <w:sz w:val="28"/>
          <w:szCs w:val="28"/>
          <w:highlight w:val="none"/>
          <w:lang w:val="en-US" w:eastAsia="zh-CN" w:bidi="ar"/>
        </w:rPr>
        <w:t>《办法》紧扣实践、坚持问题导向、突出提高立法质量这个关键，对立法工作全过程、全链条、全领域进行规范，是甘肃省迈入高质量立法阶段的一个分水岭，更是甘肃省迈入高质量立法阶段的一个标志性成果。</w:t>
      </w:r>
    </w:p>
    <w:p w14:paraId="00E192EB">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sz w:val="28"/>
          <w:szCs w:val="28"/>
          <w:highlight w:val="none"/>
        </w:rPr>
      </w:pPr>
      <w:bookmarkStart w:id="77" w:name="_Toc11120"/>
      <w:bookmarkStart w:id="78" w:name="_Toc15073"/>
      <w:bookmarkStart w:id="79" w:name="_Toc1821"/>
      <w:bookmarkStart w:id="80" w:name="_Toc19202"/>
      <w:r>
        <w:rPr>
          <w:rFonts w:hint="eastAsia" w:ascii="Times New Roman" w:hAnsi="Times New Roman" w:eastAsia="宋体" w:cs="宋体"/>
          <w:b/>
          <w:bCs/>
          <w:color w:val="000000"/>
          <w:kern w:val="0"/>
          <w:sz w:val="28"/>
          <w:szCs w:val="28"/>
          <w:highlight w:val="none"/>
          <w:lang w:val="en-US" w:eastAsia="zh-CN" w:bidi="ar"/>
        </w:rPr>
        <w:t>六、存在的问题和建议</w:t>
      </w:r>
      <w:bookmarkEnd w:id="77"/>
      <w:bookmarkEnd w:id="78"/>
      <w:bookmarkEnd w:id="79"/>
      <w:bookmarkEnd w:id="80"/>
    </w:p>
    <w:p w14:paraId="626064A0">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b/>
          <w:bCs/>
          <w:color w:val="000000"/>
          <w:kern w:val="0"/>
          <w:sz w:val="28"/>
          <w:szCs w:val="28"/>
          <w:highlight w:val="none"/>
          <w:lang w:val="en-US" w:eastAsia="zh-CN" w:bidi="ar"/>
        </w:rPr>
      </w:pPr>
      <w:bookmarkStart w:id="81" w:name="_Toc8145"/>
      <w:bookmarkStart w:id="82" w:name="_Toc16585"/>
      <w:bookmarkStart w:id="83" w:name="_Toc28147"/>
      <w:bookmarkStart w:id="84" w:name="_Toc24995"/>
      <w:r>
        <w:rPr>
          <w:rFonts w:hint="eastAsia" w:ascii="Times New Roman" w:hAnsi="Times New Roman" w:eastAsia="宋体" w:cs="宋体"/>
          <w:b/>
          <w:bCs/>
          <w:color w:val="000000"/>
          <w:kern w:val="0"/>
          <w:sz w:val="28"/>
          <w:szCs w:val="28"/>
          <w:highlight w:val="none"/>
          <w:lang w:val="en-US" w:eastAsia="zh-CN" w:bidi="ar"/>
        </w:rPr>
        <w:t>（一）存在的问题</w:t>
      </w:r>
      <w:bookmarkEnd w:id="81"/>
      <w:bookmarkEnd w:id="82"/>
      <w:bookmarkEnd w:id="83"/>
      <w:bookmarkEnd w:id="84"/>
    </w:p>
    <w:p w14:paraId="2735AC9F">
      <w:pPr>
        <w:pageBreakBefore w:val="0"/>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b w:val="0"/>
          <w:bCs w:val="0"/>
          <w:color w:val="auto"/>
          <w:sz w:val="28"/>
          <w:szCs w:val="28"/>
          <w:highlight w:val="none"/>
          <w:lang w:val="en-US" w:eastAsia="zh-CN"/>
        </w:rPr>
      </w:pPr>
      <w:r>
        <w:rPr>
          <w:rFonts w:hint="eastAsia" w:ascii="Times New Roman" w:hAnsi="Times New Roman" w:eastAsia="宋体" w:cs="宋体"/>
          <w:b w:val="0"/>
          <w:bCs w:val="0"/>
          <w:color w:val="auto"/>
          <w:sz w:val="28"/>
          <w:szCs w:val="28"/>
          <w:highlight w:val="none"/>
          <w:lang w:val="en-US" w:eastAsia="zh-CN"/>
        </w:rPr>
        <w:t>甘肃省人民代表大会常务委员会2023年度省人大常委会会议费项目资金使用过程中，各单位基本能够积极落实主体责任，履行自身职责，在资金使用、项目实施及管理方面认真按照各项政策要求执行，确保了财政资金的安全，发挥了应有的效益。但在本次绩效评价过程中，仍存在以下问题：</w:t>
      </w:r>
    </w:p>
    <w:p w14:paraId="42CA93D2">
      <w:pPr>
        <w:keepNext w:val="0"/>
        <w:keepLines w:val="0"/>
        <w:pageBreakBefore w:val="0"/>
        <w:widowControl/>
        <w:numPr>
          <w:ilvl w:val="0"/>
          <w:numId w:val="0"/>
        </w:numPr>
        <w:suppressLineNumbers w:val="0"/>
        <w:kinsoku/>
        <w:wordWrap/>
        <w:overflowPunct/>
        <w:topLinePunct w:val="0"/>
        <w:autoSpaceDE/>
        <w:autoSpaceDN/>
        <w:bidi w:val="0"/>
        <w:adjustRightInd/>
        <w:snapToGrid/>
        <w:spacing w:line="587" w:lineRule="exact"/>
        <w:ind w:firstLine="562" w:firstLineChars="200"/>
        <w:jc w:val="left"/>
        <w:textAlignment w:val="auto"/>
        <w:rPr>
          <w:rFonts w:hint="eastAsia" w:ascii="Times New Roman" w:hAnsi="Times New Roman" w:eastAsia="宋体" w:cs="宋体"/>
          <w:b/>
          <w:bCs/>
          <w:sz w:val="28"/>
          <w:szCs w:val="28"/>
          <w:highlight w:val="none"/>
          <w:lang w:val="en-US" w:eastAsia="zh-CN"/>
        </w:rPr>
      </w:pPr>
      <w:bookmarkStart w:id="85" w:name="_Toc8701"/>
      <w:bookmarkStart w:id="86" w:name="_Toc25249"/>
      <w:r>
        <w:rPr>
          <w:rFonts w:hint="eastAsia" w:ascii="Times New Roman" w:hAnsi="Times New Roman" w:eastAsia="宋体" w:cs="宋体"/>
          <w:b/>
          <w:bCs/>
          <w:sz w:val="28"/>
          <w:szCs w:val="28"/>
          <w:highlight w:val="none"/>
          <w:lang w:val="en-US" w:eastAsia="zh-CN"/>
        </w:rPr>
        <w:t>常务委员会会务服务工作精细化标准化仍需进一步加强</w:t>
      </w:r>
    </w:p>
    <w:p w14:paraId="58350B63">
      <w:pPr>
        <w:keepNext w:val="0"/>
        <w:keepLines w:val="0"/>
        <w:pageBreakBefore w:val="0"/>
        <w:widowControl/>
        <w:numPr>
          <w:ilvl w:val="0"/>
          <w:numId w:val="0"/>
        </w:numPr>
        <w:suppressLineNumbers w:val="0"/>
        <w:kinsoku/>
        <w:wordWrap/>
        <w:overflowPunct/>
        <w:topLinePunct w:val="0"/>
        <w:autoSpaceDE/>
        <w:autoSpaceDN/>
        <w:bidi w:val="0"/>
        <w:adjustRightInd/>
        <w:snapToGrid/>
        <w:spacing w:line="587" w:lineRule="exact"/>
        <w:ind w:firstLine="560" w:firstLineChars="200"/>
        <w:jc w:val="left"/>
        <w:textAlignment w:val="auto"/>
        <w:rPr>
          <w:rFonts w:hint="default" w:ascii="Times New Roman" w:hAnsi="Times New Roman" w:eastAsia="宋体" w:cs="宋体"/>
          <w:b w:val="0"/>
          <w:bCs w:val="0"/>
          <w:sz w:val="28"/>
          <w:szCs w:val="28"/>
          <w:highlight w:val="none"/>
          <w:lang w:val="en-US" w:eastAsia="zh-CN"/>
        </w:rPr>
      </w:pPr>
      <w:r>
        <w:rPr>
          <w:rFonts w:hint="eastAsia" w:ascii="Times New Roman" w:hAnsi="Times New Roman" w:eastAsia="宋体" w:cs="宋体"/>
          <w:b w:val="0"/>
          <w:bCs w:val="0"/>
          <w:sz w:val="28"/>
          <w:szCs w:val="28"/>
          <w:highlight w:val="none"/>
          <w:lang w:val="en-US" w:eastAsia="zh-CN"/>
        </w:rPr>
        <w:t>通过对参会委员进行调研，对常务会服务工作提出了高度的赞扬，但在部分工作中提出了以下问题。如部分服务工作人员在某环节没有明确的按照操作规范或标准流程，导致服务质量和效率参差不齐。服务流程可能过于繁琐，增加了不必要的环节和时间成本；或者简化不当，遗漏了关键步骤，影响服务效果。</w:t>
      </w:r>
    </w:p>
    <w:p w14:paraId="0A218F89">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1"/>
        <w:rPr>
          <w:rFonts w:hint="eastAsia" w:ascii="Times New Roman" w:hAnsi="Times New Roman" w:eastAsia="宋体" w:cs="宋体"/>
          <w:sz w:val="28"/>
          <w:szCs w:val="28"/>
          <w:highlight w:val="none"/>
          <w:lang w:val="en-US" w:eastAsia="zh-CN"/>
        </w:rPr>
      </w:pPr>
      <w:bookmarkStart w:id="87" w:name="_Toc1791"/>
      <w:bookmarkStart w:id="88" w:name="_Toc16372"/>
      <w:r>
        <w:rPr>
          <w:rFonts w:hint="eastAsia" w:ascii="Times New Roman" w:hAnsi="Times New Roman" w:eastAsia="宋体" w:cs="宋体"/>
          <w:b/>
          <w:bCs/>
          <w:color w:val="000000"/>
          <w:kern w:val="0"/>
          <w:sz w:val="28"/>
          <w:szCs w:val="28"/>
          <w:highlight w:val="none"/>
          <w:lang w:val="en-US" w:eastAsia="zh-CN" w:bidi="ar"/>
        </w:rPr>
        <w:t>（二）相关建议</w:t>
      </w:r>
      <w:bookmarkEnd w:id="85"/>
      <w:bookmarkEnd w:id="86"/>
      <w:bookmarkEnd w:id="87"/>
      <w:bookmarkEnd w:id="88"/>
      <w:bookmarkStart w:id="89" w:name="_Toc30533"/>
    </w:p>
    <w:bookmarkEnd w:id="89"/>
    <w:p w14:paraId="72D7C2B5">
      <w:pPr>
        <w:keepNext w:val="0"/>
        <w:keepLines w:val="0"/>
        <w:pageBreakBefore w:val="0"/>
        <w:widowControl/>
        <w:numPr>
          <w:ilvl w:val="0"/>
          <w:numId w:val="0"/>
        </w:numPr>
        <w:suppressLineNumbers w:val="0"/>
        <w:kinsoku/>
        <w:wordWrap/>
        <w:overflowPunct/>
        <w:topLinePunct w:val="0"/>
        <w:autoSpaceDE/>
        <w:autoSpaceDN/>
        <w:bidi w:val="0"/>
        <w:adjustRightInd/>
        <w:snapToGrid/>
        <w:spacing w:line="587" w:lineRule="exact"/>
        <w:ind w:firstLine="562" w:firstLineChars="200"/>
        <w:jc w:val="left"/>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kern w:val="2"/>
          <w:sz w:val="28"/>
          <w:szCs w:val="28"/>
          <w:highlight w:val="none"/>
          <w:lang w:val="en-US" w:eastAsia="zh-CN" w:bidi="ar-SA"/>
        </w:rPr>
        <w:t>强化服务标准化执行，强化服务标准化执行</w:t>
      </w:r>
    </w:p>
    <w:p w14:paraId="79F75971">
      <w:pPr>
        <w:keepNext w:val="0"/>
        <w:keepLines w:val="0"/>
        <w:pageBreakBefore w:val="0"/>
        <w:widowControl/>
        <w:numPr>
          <w:ilvl w:val="0"/>
          <w:numId w:val="0"/>
        </w:numPr>
        <w:suppressLineNumbers w:val="0"/>
        <w:kinsoku/>
        <w:wordWrap/>
        <w:overflowPunct/>
        <w:topLinePunct w:val="0"/>
        <w:autoSpaceDE/>
        <w:autoSpaceDN/>
        <w:bidi w:val="0"/>
        <w:adjustRightInd/>
        <w:snapToGrid/>
        <w:spacing w:line="587" w:lineRule="exact"/>
        <w:ind w:firstLine="560" w:firstLineChars="200"/>
        <w:jc w:val="left"/>
        <w:textAlignment w:val="auto"/>
        <w:rPr>
          <w:rFonts w:hint="default" w:ascii="Times New Roman" w:hAnsi="Times New Roman" w:eastAsia="宋体" w:cs="宋体"/>
          <w:b w:val="0"/>
          <w:bCs w:val="0"/>
          <w:kern w:val="2"/>
          <w:sz w:val="28"/>
          <w:szCs w:val="28"/>
          <w:highlight w:val="none"/>
          <w:lang w:val="en-US" w:eastAsia="zh-CN" w:bidi="ar-SA"/>
        </w:rPr>
      </w:pPr>
      <w:r>
        <w:rPr>
          <w:rFonts w:hint="eastAsia" w:ascii="Times New Roman" w:hAnsi="Times New Roman" w:eastAsia="宋体" w:cs="宋体"/>
          <w:b w:val="0"/>
          <w:bCs w:val="0"/>
          <w:kern w:val="2"/>
          <w:sz w:val="28"/>
          <w:szCs w:val="28"/>
          <w:highlight w:val="none"/>
          <w:lang w:val="en-US" w:eastAsia="zh-CN" w:bidi="ar-SA"/>
        </w:rPr>
        <w:t>一是完善服务标准体系。制定详细服务规范，针对常务会的各个环节，如会前筹备、会议组织、后勤保障、信息传达等，制定详细的服务标准和操作规范。清晰界定各服务环节的流程、时间节点和责任主体，确保服务工作的有序进行。二是提升服务精细化水平。根据参会委员的不同需求和特点，提供个性化的服务，如特殊饮食安排、健康保障、信息推送等。注重服务细节，如会场布置、设备调试、资料准备等，确保每一个细节都符合高标准要求。加强对参会委员的情感关怀，通过亲切的问候、周到的安排等方式，让参会委员感受到温暖和尊重。三是增强服务意识。强化服务人员的服务意识，树立以参会委员为中心的服务理念。鼓励服务人员主动了解代表需求，提前预判并解决问题，提高服务的主动性和预见性。建立服务反馈机制，鼓励参会委员对服务工作提出意见和建议，及时回应代表关切，不断改进服务工作。</w:t>
      </w:r>
    </w:p>
    <w:p w14:paraId="1673B41A">
      <w:pPr>
        <w:keepNext w:val="0"/>
        <w:keepLines w:val="0"/>
        <w:pageBreakBefore w:val="0"/>
        <w:widowControl/>
        <w:suppressLineNumbers w:val="0"/>
        <w:kinsoku/>
        <w:wordWrap/>
        <w:overflowPunct/>
        <w:topLinePunct w:val="0"/>
        <w:autoSpaceDE/>
        <w:autoSpaceDN/>
        <w:bidi w:val="0"/>
        <w:adjustRightInd/>
        <w:snapToGrid/>
        <w:spacing w:line="600" w:lineRule="exact"/>
        <w:ind w:left="0" w:firstLine="562" w:firstLineChars="200"/>
        <w:jc w:val="left"/>
        <w:textAlignment w:val="auto"/>
        <w:outlineLvl w:val="0"/>
        <w:rPr>
          <w:rFonts w:hint="eastAsia" w:ascii="Times New Roman" w:hAnsi="Times New Roman" w:eastAsia="宋体" w:cs="宋体"/>
          <w:b/>
          <w:bCs/>
          <w:color w:val="000000"/>
          <w:kern w:val="0"/>
          <w:sz w:val="28"/>
          <w:szCs w:val="28"/>
          <w:highlight w:val="none"/>
          <w:lang w:val="en-US" w:eastAsia="zh-CN" w:bidi="ar"/>
        </w:rPr>
      </w:pPr>
      <w:bookmarkStart w:id="90" w:name="_Toc23486"/>
      <w:bookmarkStart w:id="91" w:name="_Toc8801"/>
      <w:bookmarkStart w:id="92" w:name="_Toc31184"/>
      <w:bookmarkStart w:id="93" w:name="_Toc16557"/>
      <w:r>
        <w:rPr>
          <w:rFonts w:hint="eastAsia" w:ascii="Times New Roman" w:hAnsi="Times New Roman" w:eastAsia="宋体" w:cs="宋体"/>
          <w:b/>
          <w:bCs/>
          <w:color w:val="000000"/>
          <w:kern w:val="0"/>
          <w:sz w:val="28"/>
          <w:szCs w:val="28"/>
          <w:highlight w:val="none"/>
          <w:lang w:val="en-US" w:eastAsia="zh-CN" w:bidi="ar"/>
        </w:rPr>
        <w:t>七、其他需要说明的问题</w:t>
      </w:r>
      <w:bookmarkEnd w:id="90"/>
      <w:bookmarkEnd w:id="91"/>
      <w:bookmarkEnd w:id="92"/>
      <w:bookmarkEnd w:id="93"/>
    </w:p>
    <w:p w14:paraId="7DBFE252">
      <w:pPr>
        <w:pStyle w:val="9"/>
        <w:keepNext w:val="0"/>
        <w:keepLines w:val="0"/>
        <w:pageBreakBefore w:val="0"/>
        <w:numPr>
          <w:ilvl w:val="0"/>
          <w:numId w:val="0"/>
        </w:numPr>
        <w:kinsoku/>
        <w:wordWrap/>
        <w:overflowPunct/>
        <w:topLinePunct w:val="0"/>
        <w:autoSpaceDE/>
        <w:autoSpaceDN/>
        <w:bidi w:val="0"/>
        <w:adjustRightInd/>
        <w:snapToGrid/>
        <w:spacing w:line="600" w:lineRule="exact"/>
        <w:ind w:left="0" w:firstLine="560" w:firstLineChars="200"/>
        <w:textAlignment w:val="auto"/>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无</w:t>
      </w:r>
    </w:p>
    <w:p w14:paraId="42FC233A">
      <w:pPr>
        <w:keepNext w:val="0"/>
        <w:keepLines w:val="0"/>
        <w:pageBreakBefore w:val="0"/>
        <w:widowControl w:val="0"/>
        <w:kinsoku/>
        <w:wordWrap/>
        <w:overflowPunct/>
        <w:topLinePunct w:val="0"/>
        <w:autoSpaceDE/>
        <w:autoSpaceDN/>
        <w:bidi w:val="0"/>
        <w:adjustRightInd/>
        <w:snapToGrid/>
        <w:spacing w:line="600" w:lineRule="exact"/>
        <w:ind w:left="0" w:leftChars="0" w:firstLine="562" w:firstLineChars="200"/>
        <w:textAlignment w:val="auto"/>
        <w:outlineLvl w:val="0"/>
        <w:rPr>
          <w:rFonts w:hint="eastAsia" w:ascii="Times New Roman" w:hAnsi="Times New Roman" w:eastAsia="宋体" w:cs="宋体"/>
          <w:b/>
          <w:bCs/>
          <w:color w:val="auto"/>
          <w:sz w:val="28"/>
          <w:szCs w:val="28"/>
          <w:highlight w:val="none"/>
          <w:lang w:val="en-US" w:eastAsia="zh-CN"/>
        </w:rPr>
      </w:pPr>
      <w:bookmarkStart w:id="94" w:name="_Toc12529"/>
      <w:bookmarkStart w:id="95" w:name="_Toc32166"/>
      <w:bookmarkStart w:id="96" w:name="_Toc18462"/>
      <w:bookmarkStart w:id="97" w:name="_Toc2163"/>
      <w:bookmarkStart w:id="98" w:name="_Toc6820"/>
      <w:bookmarkStart w:id="99" w:name="_Toc6323"/>
      <w:r>
        <w:rPr>
          <w:rFonts w:hint="eastAsia" w:ascii="Times New Roman" w:hAnsi="Times New Roman" w:eastAsia="宋体" w:cs="宋体"/>
          <w:b/>
          <w:bCs/>
          <w:color w:val="auto"/>
          <w:sz w:val="28"/>
          <w:szCs w:val="28"/>
          <w:highlight w:val="none"/>
          <w:lang w:val="en-US" w:eastAsia="zh-CN"/>
        </w:rPr>
        <w:t>八、相关附件</w:t>
      </w:r>
      <w:bookmarkEnd w:id="94"/>
      <w:bookmarkEnd w:id="95"/>
      <w:bookmarkEnd w:id="96"/>
      <w:bookmarkEnd w:id="97"/>
      <w:bookmarkEnd w:id="98"/>
      <w:bookmarkEnd w:id="99"/>
    </w:p>
    <w:p w14:paraId="58604AAE">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（一）绩效评价指标体系评分表</w:t>
      </w:r>
    </w:p>
    <w:p w14:paraId="52FEC6BC">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（二）满意度问卷调查报告</w:t>
      </w:r>
    </w:p>
    <w:p w14:paraId="43B83A95">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firstLine="560" w:firstLineChars="200"/>
        <w:jc w:val="both"/>
        <w:textAlignment w:val="auto"/>
        <w:rPr>
          <w:rFonts w:hint="eastAsia" w:ascii="Times New Roman" w:hAnsi="Times New Roman" w:eastAsia="宋体" w:cs="宋体"/>
          <w:b w:val="0"/>
          <w:bCs w:val="0"/>
          <w:color w:val="000000"/>
          <w:kern w:val="24"/>
          <w:sz w:val="28"/>
          <w:szCs w:val="28"/>
          <w:highlight w:val="none"/>
          <w:lang w:val="en-US" w:eastAsia="zh-CN" w:bidi="ar-SA"/>
        </w:rPr>
      </w:pPr>
      <w:r>
        <w:rPr>
          <w:rFonts w:hint="eastAsia" w:ascii="Times New Roman" w:hAnsi="Times New Roman" w:eastAsia="宋体" w:cs="宋体"/>
          <w:b w:val="0"/>
          <w:bCs w:val="0"/>
          <w:color w:val="000000"/>
          <w:kern w:val="24"/>
          <w:sz w:val="28"/>
          <w:szCs w:val="28"/>
          <w:highlight w:val="none"/>
          <w:lang w:val="en-US" w:eastAsia="zh-CN" w:bidi="ar-SA"/>
        </w:rPr>
        <w:t>（三）访谈报告</w:t>
      </w:r>
    </w:p>
    <w:p w14:paraId="077126C1">
      <w:pPr>
        <w:pStyle w:val="9"/>
        <w:rPr>
          <w:rFonts w:hint="eastAsia" w:ascii="Times New Roman" w:hAnsi="Times New Roman" w:eastAsia="宋体" w:cs="宋体"/>
          <w:sz w:val="28"/>
          <w:szCs w:val="28"/>
          <w:highlight w:val="yellow"/>
          <w:lang w:val="en-US" w:eastAsia="zh-CN"/>
        </w:rPr>
      </w:pPr>
    </w:p>
    <w:p w14:paraId="34EBF2F4">
      <w:pPr>
        <w:rPr>
          <w:rFonts w:hint="eastAsia" w:ascii="Times New Roman" w:hAnsi="Times New Roman" w:eastAsia="宋体" w:cs="宋体"/>
          <w:highlight w:val="yellow"/>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A976783">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100" w:name="_Toc28685"/>
      <w:bookmarkStart w:id="101" w:name="_Toc15925"/>
      <w:bookmarkStart w:id="102" w:name="_Toc1145"/>
      <w:bookmarkStart w:id="103" w:name="_Toc21449"/>
      <w:bookmarkStart w:id="104" w:name="_Toc13367"/>
      <w:bookmarkStart w:id="105" w:name="_Toc23624"/>
      <w:r>
        <w:rPr>
          <w:rFonts w:hint="eastAsia" w:ascii="Times New Roman" w:hAnsi="Times New Roman" w:eastAsia="宋体" w:cs="宋体"/>
          <w:b/>
          <w:bCs/>
          <w:sz w:val="28"/>
          <w:szCs w:val="28"/>
          <w:highlight w:val="none"/>
          <w:lang w:val="en-US" w:eastAsia="zh-CN"/>
        </w:rPr>
        <w:t>（一）</w:t>
      </w:r>
      <w:bookmarkEnd w:id="100"/>
      <w:bookmarkEnd w:id="101"/>
      <w:r>
        <w:rPr>
          <w:rFonts w:hint="eastAsia" w:ascii="Times New Roman" w:hAnsi="Times New Roman" w:eastAsia="宋体" w:cs="宋体"/>
          <w:b/>
          <w:bCs/>
          <w:sz w:val="28"/>
          <w:szCs w:val="28"/>
          <w:highlight w:val="none"/>
          <w:lang w:val="en-US" w:eastAsia="zh-CN"/>
        </w:rPr>
        <w:t>绩效评价指标体系评分表</w:t>
      </w:r>
      <w:bookmarkEnd w:id="102"/>
      <w:bookmarkEnd w:id="103"/>
      <w:bookmarkEnd w:id="104"/>
      <w:bookmarkEnd w:id="105"/>
    </w:p>
    <w:p w14:paraId="46992468">
      <w:pPr>
        <w:pStyle w:val="12"/>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6"/>
          <w:rFonts w:hint="eastAsia" w:ascii="Times New Roman" w:hAnsi="Times New Roman" w:eastAsia="宋体" w:cs="宋体"/>
          <w:b/>
          <w:bCs/>
          <w:color w:val="000000"/>
          <w:kern w:val="2"/>
          <w:sz w:val="24"/>
          <w:szCs w:val="24"/>
          <w:highlight w:val="none"/>
          <w:lang w:val="en-US" w:eastAsia="zh-CN" w:bidi="ar"/>
        </w:rPr>
      </w:pPr>
      <w:r>
        <w:rPr>
          <w:rStyle w:val="16"/>
          <w:rFonts w:hint="eastAsia" w:ascii="Times New Roman" w:hAnsi="Times New Roman" w:eastAsia="宋体" w:cs="宋体"/>
          <w:b/>
          <w:bCs/>
          <w:color w:val="000000"/>
          <w:kern w:val="2"/>
          <w:sz w:val="24"/>
          <w:szCs w:val="24"/>
          <w:highlight w:val="none"/>
          <w:lang w:val="en-US" w:eastAsia="zh-CN" w:bidi="ar"/>
        </w:rPr>
        <w:t>甘肃省人民代表大会常务委员会</w:t>
      </w:r>
      <w:r>
        <w:rPr>
          <w:rStyle w:val="16"/>
          <w:rFonts w:hint="eastAsia" w:cs="宋体"/>
          <w:b/>
          <w:bCs/>
          <w:color w:val="000000"/>
          <w:kern w:val="2"/>
          <w:sz w:val="24"/>
          <w:szCs w:val="24"/>
          <w:highlight w:val="none"/>
          <w:lang w:val="en-US" w:eastAsia="zh-CN" w:bidi="ar"/>
        </w:rPr>
        <w:t>2023年度省人大常委会会议费项目</w:t>
      </w:r>
      <w:r>
        <w:rPr>
          <w:rStyle w:val="16"/>
          <w:rFonts w:hint="eastAsia" w:ascii="Times New Roman" w:hAnsi="Times New Roman" w:eastAsia="宋体" w:cs="宋体"/>
          <w:b/>
          <w:bCs/>
          <w:color w:val="000000"/>
          <w:kern w:val="2"/>
          <w:sz w:val="24"/>
          <w:szCs w:val="24"/>
          <w:highlight w:val="none"/>
          <w:lang w:val="en-US" w:eastAsia="zh-CN" w:bidi="ar"/>
        </w:rPr>
        <w:t>绩效指标评价表</w:t>
      </w:r>
    </w:p>
    <w:tbl>
      <w:tblPr>
        <w:tblStyle w:val="13"/>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9"/>
        <w:gridCol w:w="698"/>
        <w:gridCol w:w="1180"/>
        <w:gridCol w:w="698"/>
        <w:gridCol w:w="1208"/>
        <w:gridCol w:w="812"/>
        <w:gridCol w:w="1329"/>
        <w:gridCol w:w="1180"/>
        <w:gridCol w:w="939"/>
        <w:gridCol w:w="1448"/>
        <w:gridCol w:w="2656"/>
        <w:gridCol w:w="838"/>
      </w:tblGrid>
      <w:tr w14:paraId="2B275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blHeader/>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BDB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一级指标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8480">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0E6C">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二级指标</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A69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权重</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1A9D1">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三级指标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8F64">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分值</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643B">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指标解释及说明</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163A">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计算公式</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C5D2">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标杆值</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67ED3">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评分依据及数据来源</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469E">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评分标准及规则</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C5E8">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得分</w:t>
            </w:r>
          </w:p>
        </w:tc>
      </w:tr>
      <w:tr w14:paraId="71EE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B513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项目决策</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3BBD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14</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729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项目立项</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C38A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709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立项依据充分性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B9F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36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考察项目立项是否符合法律法规、相关政策及部门职责，用以反映和考核项目立项依据情况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3E5F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29B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充分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E49E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3BB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以上各占1/5权重分，符合则得分，否则扣除相应权重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873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40BAF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BD4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5EF3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3A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C11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78B7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立项程序规范性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7526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E493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考察项目申请、设立过程是否符合相关要求，用以反映和考核项目立项的规范情况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193A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F57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8AD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9EA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①项目是否按照规定的程序申请设立；②审批文件、材料是否符合相关要求；③事前是否已经过必要的可行性研究、专家论证、风险评估、绩效评估、 集体决策。以上要素各占1/3权重分，符合得满分，不符合扣除相应权重分。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ECD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F41A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A64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CE4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0A7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绩效目标</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B099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533A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绩效目标合理性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34FF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FBFA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项目所设定的绩效目标是否依据充分，是否符合客观实际，用以反映和考核项目绩效目标与项目实施的相符情况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7A1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D22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合理</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DA86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49D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有绩效目标；②根据《财政部关于印发〈项目支出绩效评价管理办法〉的通知》（财预〔2020〕10号）和《甘肃省财政厅关于印发〈甘肃省省级预算绩效管理办法〉等6个办法和规程的通知》（甘财绩〔2020〕5号）要求绩效目标与实际工作内容具有相关性；③项目预期产出和效果符合正常的业绩水平；④是否与预算确定的项目投资额或资金量相匹配。以上要素各占1/4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7339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A7A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45AD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7B0D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C7F6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54C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912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绩效指标明确性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F15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240F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依据绩效目标设定的绩效 指标是否清晰、细化、可衡量等，用以反映和考核项目绩效目标的明细化情况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80D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CE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明确</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9EC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91B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根据《财政部关于印发〈项目支出绩效评价管理办法〉的通知》（财预〔2020〕10号）和《甘肃省财政厅关于印发〈甘肃省省级预算绩效管理办法〉等6个办法和规程的通知》（甘财绩〔2020〕5号）要求①绩效目标可细化分解为具体的绩效指标；②通过清晰、可衡量的指标值予以体现；③与项目目标任务数或计划数相对应。要素①占1/2权重分，要素②③各占1/4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DB172">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7CEE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4F7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D50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ACB93">
            <w:pPr>
              <w:keepNext w:val="0"/>
              <w:keepLines w:val="0"/>
              <w:widowControl/>
              <w:suppressLineNumbers w:val="0"/>
              <w:jc w:val="both"/>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资金投入</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F636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F22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预算编制科学性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8B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449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考察项目预算编制是否经过科学论证、是否有明确标准，资金额度是否符合相关标准，用以反映和考核项目预算编制的科学性、合理性情况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4B8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07A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0EB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E675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预算编制是否经过科学论证；②预算内容与项目内容是否匹配；③预算额度测算依据是否充分，是否按照标准编制；④预算确定的项目投资额或资金量是否与工作任务相匹配。以上要素各占1/4权重分，符合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CEC4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3619F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F8D7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C85D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78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9D9E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58C5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资金分配合规性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CA0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F05F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考察项目预算资金分配是否有测算依据，是否按实际数量进行分配，用以反映和考核项目预算资金分配的科学性、合理性情况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CB0A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852C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C035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061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①预算资金分配依据是否充分；②资金分配额度是否合理，与项目单位是否相适应。要素①占1/3权重分，要素②占2/3权重分，符合得满分，否则扣除相应权重分。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446C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5D69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3B30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项目过程</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938D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27</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AA1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资金管理</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036DD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927B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A33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8BCE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实际到位资金与预算资金的比率，用以反映和考核资金落实情况对项目实施的总体保障程度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33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资金到位率=实际到位资金/预算资金×100%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AF0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81F5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006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资金到位率达到100%得满分，每降低或升高1%，扣除权重分的10%，扣完为止。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0724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44DE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F746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575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36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86AB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495D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826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5444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项目预算资金是否按照计划执行，用以反映或考核项目预算执行情况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0D1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预算执行率=实际支出资金/实际到位资金×100%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E84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851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089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预算执行率达到100%得满分，每降低1%，扣除权重分的10%，扣完为止。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4CA45">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1.8</w:t>
            </w:r>
          </w:p>
        </w:tc>
      </w:tr>
      <w:tr w14:paraId="6B586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571F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4259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AA22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CA35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5041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资金使用合规性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BA7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74B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考察项目资金使用是否符合相关的财务管理制度规定，用以反映和考核项目资金的规范运行情况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10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7475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895C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2381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符合国家财经法规和财务管理制度以及有关专项资金管理办法的规定；②资金的拨付是否有完整的审批程序和手续；③是否符合项目预算批复。以上要素各占1/3权重分，符合得满分，不符合扣除相应权重分；④本项为一票否决项，资金若存在截留、挤占、挪用、虚列支出等情况，本项指标不得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A37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1B5B5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C8A9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E0F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7F0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34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AFF0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财务管理规范性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53F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97F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项目财务核算及管理是否符合相关财务管理制度规定</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94C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7E8D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80A9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015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①会计工作和会计资料真实、完整；②项目资金单独记账。要素①占1/3权重值，要素②占2/3权重值，符合得满分，若有不符合，按权重扣相应权重分。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F14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32D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E10A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8921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960E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组织实施</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321A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AE2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业务管理制度健全性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48F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68D3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考察项目单位相关业务管理制度、责任机制是否健全可行、合法合规</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A94D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6D68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健全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40E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EEF5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①项目是否颁布相关规章制度；②制度是否健全可行、合法合规。要素①占1/3权重分，要素②占2/3权重分，符合得满分，若有不符合，按权重扣相应权重分。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64E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BA5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D436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6C4D7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5E3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3639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633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制度执行有效性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DBEA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7C0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项目实施是否符合相关管理规定，用以反映和考核相关管理制度的有效执行情况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F2D9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7B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合规</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3A12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538C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遵守相关法律法规和相关管理规定；②项目调整及支出调整手续是否完备：③项目合同书、验收报告、技术鉴定等资料是否齐全合规并及时归档，每发现一项不合规扣除0.5分，扣完为止；④项目实施的人员条件、场地设备、信息支撑等是否落实到位。以上要素各占1/4权重分，符合则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84A5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5FCAC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9"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6D551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D000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4B38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4B7D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5B7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政府采购规范性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9778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8EAF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考察购买主体是否按照要求开展采购工作，用以反映和考核政府采购工作规范程度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2B2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64E2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规范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8AC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计划标准、行业标准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956F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政府采购流程规范，集体决策资料齐全完整，时间逻辑清晰合理，符合相关规定和要求；②按照采购要求及时完成相关合同的签订，合同签订规范有效；③合同管理合理有效。包括：实际提供服务或提供的商品内容与合同约定条款相一致；按合同规定的技术、服务、安全标准及时组织对供应商约定验收，并出具验收相关材料；合同价款结算时，财务科室对合同条款和经审批的申请材料进行核对，按照合同约定付款等；④政府采购项目信息按要求进行公示公开。以上四项中，要素③占50%权重分，要素①③④各占16.6%权重分，符合得满分，不符合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481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1E19E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AA8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00D2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3924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4B00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DED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资金监管工作开展情况</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5316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7E21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考察项目工作经费资金监管情况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FF3C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A44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开展到位</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C54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41CA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①及时开展资金支出自查工作；②开展外部资金审查工作。以上要素各占1/2权重分，符合则得满分，否则扣除相应权重分。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6684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4197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551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项目产出</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4F9A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30</w:t>
            </w:r>
          </w:p>
        </w:tc>
        <w:tc>
          <w:tcPr>
            <w:tcW w:w="416" w:type="pct"/>
            <w:vMerge w:val="restart"/>
            <w:tcBorders>
              <w:top w:val="single" w:color="000000" w:sz="4" w:space="0"/>
              <w:left w:val="single" w:color="000000" w:sz="4" w:space="0"/>
              <w:bottom w:val="nil"/>
              <w:right w:val="single" w:color="000000" w:sz="4" w:space="0"/>
            </w:tcBorders>
            <w:shd w:val="clear" w:color="auto" w:fill="auto"/>
            <w:vAlign w:val="center"/>
          </w:tcPr>
          <w:p w14:paraId="6C9C4B4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产出数量</w:t>
            </w:r>
          </w:p>
        </w:tc>
        <w:tc>
          <w:tcPr>
            <w:tcW w:w="246" w:type="pct"/>
            <w:vMerge w:val="restart"/>
            <w:tcBorders>
              <w:top w:val="single" w:color="000000" w:sz="4" w:space="0"/>
              <w:left w:val="single" w:color="000000" w:sz="4" w:space="0"/>
              <w:bottom w:val="nil"/>
              <w:right w:val="single" w:color="000000" w:sz="4" w:space="0"/>
            </w:tcBorders>
            <w:shd w:val="clear" w:color="auto" w:fill="auto"/>
            <w:vAlign w:val="center"/>
          </w:tcPr>
          <w:p w14:paraId="702717B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BCD7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省人大常委会会议计划完成率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F0C4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6F6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考察项目办公用品购置完成情况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5F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BBB3C">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42AC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9E14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省人大常委会会议计划完成率达到目标值得满分，否则每偏离1%扣除5%权重分，扣完为止。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B89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0BA9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F813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BE00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291318A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6D56CBA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0EF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会议用品采购计划完成率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BBE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035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考察项目会议场租用完成情况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3DB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E5FF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2454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C4BF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会议用品采购计划完成率达到目标值得满分，否则每偏离1%扣除5%权重分，扣完为止。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96E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7755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726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EE56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4198826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5E781A0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1DF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会议印刷材料计划完成率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68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DCA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考察项目会议用车完成情况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24EA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210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16C2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EA1F">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会议印刷材料计划完成率达到目标值得满分，否则每偏离1%扣除5%权重分，扣完为止。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E1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7A0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A9D6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6359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nil"/>
              <w:right w:val="single" w:color="000000" w:sz="4" w:space="0"/>
            </w:tcBorders>
            <w:shd w:val="clear" w:color="auto" w:fill="auto"/>
            <w:vAlign w:val="center"/>
          </w:tcPr>
          <w:p w14:paraId="70AC9795">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071665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6598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印发会议简报计划完成率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249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7C50">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考察项目人大代表参会完成情况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04E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302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2F73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E47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印发会议简报计划完成率达到目标值得满分，否则每偏离1%扣除5%权重分，扣完为止。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63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EDA7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34C3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82D9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1D86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产出质量</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7F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0C9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保障会议场次覆盖率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CA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25D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考察项目办公用品匹配到位情况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20B5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18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53C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08FE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保障会议场次覆盖率达到100%得满分，每降低1%，扣除权重分的10%，扣完为止。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35F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6807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AB36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B0E7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8DD9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313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23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会议用品采购合格率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3CB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128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考察项目租赁场地达标情况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687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53D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292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EB39A">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会议用品采购合格率达到100%得满分，每降低1%，扣除权重分的10%，扣完为止。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AF81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70F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2CAA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00C8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B396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DE2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FC73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印刷材料合格率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082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E227">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考察项目会议用车到位情况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B69A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2D3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6A91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B301">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印刷材料合格率达到100%得满分，每降低1%，扣除权重分的10%，扣完为止。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DD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B790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1C6E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3E17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6A41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2CB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7C7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会议简报印发准确率</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E87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1F3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考察参会人大代表资质合格情况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25A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104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774A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9A99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会议简报印发准确率达到100%得满分，每降低1%，扣除权重分的10%，扣完为止。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A4D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2C8F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9ECB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4511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EEC6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产出时效</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D7F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8DBC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会议开展及时性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3E1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6369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考察办公用品购置及时情况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9CDD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7C40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C02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0F86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3F0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0DC8B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D29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E612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2ECB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B44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A8DE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会议用品购置及时性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3CF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48F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考察租赁场地及时情况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587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3812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63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0EC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62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210F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E86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305D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CA00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25AF">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13B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印刷会议材料及时性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E1D4">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5026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考察会议用车及时情况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A8537">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108A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D08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58554">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66A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5F10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6762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890D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9B28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05C9">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0540">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会议简报印发及时性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374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DA8C">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考察人大代表参会及时情况</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CBB1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5C3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及时</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E1CB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570CD">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按时完成得满分，出现任意一点不符合情况扣除0.2分，扣完为止。</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561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r>
      <w:tr w14:paraId="7C39B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1327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7138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6D1C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产出成本</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21A5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1D3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33D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95F00">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完成项目计划工作目标的实际节约成本与计划成本的比率，用以反映和考核项目的成本节约程度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D43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成本节约率=（项目计划成本-项目实际成本）/项目计划成本×100%</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6691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≥95%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314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39AE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成本节约率≥95%得满分，否则不得分。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12F8">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62690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16" w:type="pct"/>
            <w:vMerge w:val="restart"/>
            <w:tcBorders>
              <w:top w:val="nil"/>
              <w:left w:val="single" w:color="000000" w:sz="4" w:space="0"/>
              <w:bottom w:val="single" w:color="000000" w:sz="4" w:space="0"/>
              <w:right w:val="single" w:color="000000" w:sz="4" w:space="0"/>
            </w:tcBorders>
            <w:shd w:val="clear" w:color="auto" w:fill="auto"/>
            <w:vAlign w:val="center"/>
          </w:tcPr>
          <w:p w14:paraId="46265F4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项目效益</w:t>
            </w:r>
          </w:p>
        </w:tc>
        <w:tc>
          <w:tcPr>
            <w:tcW w:w="246" w:type="pct"/>
            <w:vMerge w:val="restart"/>
            <w:tcBorders>
              <w:top w:val="nil"/>
              <w:left w:val="single" w:color="000000" w:sz="4" w:space="0"/>
              <w:bottom w:val="single" w:color="000000" w:sz="4" w:space="0"/>
              <w:right w:val="single" w:color="000000" w:sz="4" w:space="0"/>
            </w:tcBorders>
            <w:shd w:val="clear" w:color="auto" w:fill="auto"/>
            <w:vAlign w:val="center"/>
          </w:tcPr>
          <w:p w14:paraId="3F6142B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29</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D54F7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社会效益</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4E2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30D0D">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维护法治促进民主发展提升性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F47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E5D9B">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考察项目实施之后，是否维护法治促进民主发展提升性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CBC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CAA01">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提升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FA08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394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是否科学合理的决策程序、完备的制度设计是民主决策的基本前提。通过建立健全决策前的公示制度、听证咨询制度、民意收集制度等，确保决策选题反映人民需求。②是否通过行风评议、专项检查、案件陪审、咨询听证等形式，以及利用网络平台、媒体等渠道，拓宽监督渠道，提高监督效果。</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85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35BB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6AE674E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7BFD61A4">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9BB03">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6EA0">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3B4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D102民生经济发展保障性</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332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ED3B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考察项目实施之后，是否民生经济发展保障性</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3D8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52C9">
            <w:pPr>
              <w:keepNext w:val="0"/>
              <w:keepLines w:val="0"/>
              <w:widowControl/>
              <w:suppressLineNumbers w:val="0"/>
              <w:jc w:val="center"/>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保障</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5020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计划标准、调查问卷</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E6E6">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①制定2023年常务会政务任务；②是否围绕全省经济社会发展的重点、难点问题，以及人民群众普遍关心的热点问题，开展决议。以上要素各占50%权重分，符合则得分，不符合扣除相应分值。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FA1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6</w:t>
            </w:r>
          </w:p>
        </w:tc>
      </w:tr>
      <w:tr w14:paraId="4549F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1A90BE46">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0FCA8DBC">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20876B">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可持续影响</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F77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7</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14F5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长效管理机制健全性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BDE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539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考察能否建立起一套健全完善的长期管理有效运行机制。其中包括资金长期运转，各相关部门协调配合、职责清晰，能够及时反馈并解决问题</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E9D1">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941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健全</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210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EEAE">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①资金能够长期运转；②各相关部门协调配合、职责清晰；③及时反馈并解决问题。要素①占2/3权重分，要素②③各占1/6权重分，符合则得分，否则扣除相应权重分。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9BE1">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4</w:t>
            </w:r>
          </w:p>
        </w:tc>
      </w:tr>
      <w:tr w14:paraId="6EC6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443D07B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2D232F3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F73AE">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D1E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C60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档案管理机制完备性</w:t>
            </w:r>
          </w:p>
        </w:tc>
        <w:tc>
          <w:tcPr>
            <w:tcW w:w="2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1C3F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E7DAF">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考察项目档案管理机制是否完备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C4C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D8E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完备</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8AE82">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0873">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①项目建立档案；②档案专项管理。要素①占5%权重分，要素②占95%权重分，符合则得分，否则扣除相应权重分。</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DF57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3</w:t>
            </w:r>
          </w:p>
        </w:tc>
      </w:tr>
      <w:tr w14:paraId="2166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652A2DB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1DFBF9DA">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E662F">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B753">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5180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参会委员满意度</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720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8</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FC82">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考察参会委员的满意度程度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7E7E9">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5B06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6BB7C">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5CACF">
            <w:pPr>
              <w:keepNext w:val="0"/>
              <w:keepLines w:val="0"/>
              <w:widowControl/>
              <w:suppressLineNumbers w:val="0"/>
              <w:jc w:val="left"/>
              <w:textAlignment w:val="center"/>
              <w:rPr>
                <w:rStyle w:val="16"/>
                <w:rFonts w:hint="default"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满意度*标杆值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CDD6">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7.45</w:t>
            </w:r>
          </w:p>
        </w:tc>
      </w:tr>
      <w:tr w14:paraId="2A55C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16" w:type="pct"/>
            <w:vMerge w:val="continue"/>
            <w:tcBorders>
              <w:top w:val="nil"/>
              <w:left w:val="single" w:color="000000" w:sz="4" w:space="0"/>
              <w:bottom w:val="single" w:color="000000" w:sz="4" w:space="0"/>
              <w:right w:val="single" w:color="000000" w:sz="4" w:space="0"/>
            </w:tcBorders>
            <w:shd w:val="clear" w:color="auto" w:fill="auto"/>
            <w:vAlign w:val="center"/>
          </w:tcPr>
          <w:p w14:paraId="52DBDDEB">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0F498F58">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4373D">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FB52">
            <w:pPr>
              <w:jc w:val="center"/>
              <w:rPr>
                <w:rStyle w:val="16"/>
                <w:rFonts w:hint="eastAsia" w:ascii="Times New Roman" w:hAnsi="Times New Roman" w:eastAsia="宋体" w:cs="宋体"/>
                <w:b w:val="0"/>
                <w:bCs w:val="0"/>
                <w:kern w:val="2"/>
                <w:sz w:val="24"/>
                <w:szCs w:val="24"/>
                <w:highlight w:val="none"/>
                <w:lang w:val="en-US" w:eastAsia="zh-CN" w:bidi="ar"/>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E198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工作人员满意度</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4BC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C8F28">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考察项目工作人员的满意程度</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E6967">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084A">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265B5">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计划标准</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0CD9">
            <w:pPr>
              <w:keepNext w:val="0"/>
              <w:keepLines w:val="0"/>
              <w:widowControl/>
              <w:suppressLineNumbers w:val="0"/>
              <w:jc w:val="left"/>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满意度*标杆值</w:t>
            </w: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F40E">
            <w:pPr>
              <w:keepNext w:val="0"/>
              <w:keepLines w:val="0"/>
              <w:widowControl/>
              <w:suppressLineNumbers w:val="0"/>
              <w:jc w:val="center"/>
              <w:textAlignment w:val="center"/>
              <w:rPr>
                <w:rStyle w:val="16"/>
                <w:rFonts w:hint="eastAsia" w:ascii="Times New Roman" w:hAnsi="Times New Roman" w:eastAsia="宋体" w:cs="宋体"/>
                <w:b w:val="0"/>
                <w:bCs w:val="0"/>
                <w:kern w:val="2"/>
                <w:sz w:val="24"/>
                <w:szCs w:val="24"/>
                <w:highlight w:val="none"/>
                <w:lang w:val="en-US" w:eastAsia="zh-CN" w:bidi="ar"/>
              </w:rPr>
            </w:pPr>
            <w:r>
              <w:rPr>
                <w:rStyle w:val="16"/>
                <w:rFonts w:hint="eastAsia" w:ascii="Times New Roman" w:hAnsi="Times New Roman" w:eastAsia="宋体" w:cs="宋体"/>
                <w:b w:val="0"/>
                <w:bCs w:val="0"/>
                <w:kern w:val="2"/>
                <w:sz w:val="24"/>
                <w:szCs w:val="24"/>
                <w:highlight w:val="none"/>
                <w:lang w:val="en-US" w:eastAsia="zh-CN" w:bidi="ar"/>
              </w:rPr>
              <w:t>1.24</w:t>
            </w:r>
          </w:p>
        </w:tc>
      </w:tr>
      <w:tr w14:paraId="5B718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8131">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总分</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E0C5">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CCDE">
            <w:pPr>
              <w:jc w:val="center"/>
              <w:rPr>
                <w:rStyle w:val="16"/>
                <w:rFonts w:hint="eastAsia" w:ascii="Times New Roman" w:hAnsi="Times New Roman" w:eastAsia="宋体" w:cs="宋体"/>
                <w:b/>
                <w:bCs/>
                <w:kern w:val="2"/>
                <w:sz w:val="24"/>
                <w:szCs w:val="24"/>
                <w:highlight w:val="none"/>
                <w:lang w:val="en-US" w:eastAsia="zh-CN" w:bidi="ar"/>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CBA7">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F3BC1">
            <w:pPr>
              <w:jc w:val="center"/>
              <w:rPr>
                <w:rStyle w:val="16"/>
                <w:rFonts w:hint="eastAsia" w:ascii="Times New Roman" w:hAnsi="Times New Roman" w:eastAsia="宋体" w:cs="宋体"/>
                <w:b/>
                <w:bCs/>
                <w:kern w:val="2"/>
                <w:sz w:val="24"/>
                <w:szCs w:val="24"/>
                <w:highlight w:val="none"/>
                <w:lang w:val="en-US" w:eastAsia="zh-CN" w:bidi="ar"/>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F7F8">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100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F96E">
            <w:pPr>
              <w:jc w:val="center"/>
              <w:rPr>
                <w:rStyle w:val="16"/>
                <w:rFonts w:hint="eastAsia" w:ascii="Times New Roman" w:hAnsi="Times New Roman" w:eastAsia="宋体" w:cs="宋体"/>
                <w:b/>
                <w:bCs/>
                <w:kern w:val="2"/>
                <w:sz w:val="24"/>
                <w:szCs w:val="24"/>
                <w:highlight w:val="none"/>
                <w:lang w:val="en-US" w:eastAsia="zh-CN" w:bidi="ar"/>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ED89">
            <w:pPr>
              <w:jc w:val="center"/>
              <w:rPr>
                <w:rStyle w:val="16"/>
                <w:rFonts w:hint="eastAsia" w:ascii="Times New Roman" w:hAnsi="Times New Roman" w:eastAsia="宋体" w:cs="宋体"/>
                <w:b/>
                <w:bCs/>
                <w:kern w:val="2"/>
                <w:sz w:val="24"/>
                <w:szCs w:val="24"/>
                <w:highlight w:val="none"/>
                <w:lang w:val="en-US" w:eastAsia="zh-CN" w:bidi="ar"/>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BCBD">
            <w:pPr>
              <w:jc w:val="center"/>
              <w:rPr>
                <w:rStyle w:val="16"/>
                <w:rFonts w:hint="eastAsia" w:ascii="Times New Roman" w:hAnsi="Times New Roman" w:eastAsia="宋体" w:cs="宋体"/>
                <w:b/>
                <w:bCs/>
                <w:kern w:val="2"/>
                <w:sz w:val="24"/>
                <w:szCs w:val="24"/>
                <w:highlight w:val="none"/>
                <w:lang w:val="en-US" w:eastAsia="zh-CN" w:bidi="ar"/>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C0D1">
            <w:pPr>
              <w:jc w:val="center"/>
              <w:rPr>
                <w:rStyle w:val="16"/>
                <w:rFonts w:hint="eastAsia" w:ascii="Times New Roman" w:hAnsi="Times New Roman" w:eastAsia="宋体" w:cs="宋体"/>
                <w:b/>
                <w:bCs/>
                <w:kern w:val="2"/>
                <w:sz w:val="24"/>
                <w:szCs w:val="24"/>
                <w:highlight w:val="none"/>
                <w:lang w:val="en-US" w:eastAsia="zh-CN" w:bidi="ar"/>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AE64">
            <w:pPr>
              <w:jc w:val="center"/>
              <w:rPr>
                <w:rStyle w:val="16"/>
                <w:rFonts w:hint="eastAsia" w:ascii="Times New Roman" w:hAnsi="Times New Roman" w:eastAsia="宋体" w:cs="宋体"/>
                <w:b/>
                <w:bCs/>
                <w:kern w:val="2"/>
                <w:sz w:val="24"/>
                <w:szCs w:val="24"/>
                <w:highlight w:val="none"/>
                <w:lang w:val="en-US" w:eastAsia="zh-CN" w:bidi="ar"/>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BFE7">
            <w:pPr>
              <w:keepNext w:val="0"/>
              <w:keepLines w:val="0"/>
              <w:widowControl/>
              <w:suppressLineNumbers w:val="0"/>
              <w:jc w:val="center"/>
              <w:textAlignment w:val="center"/>
              <w:rPr>
                <w:rStyle w:val="16"/>
                <w:rFonts w:hint="eastAsia" w:ascii="Times New Roman" w:hAnsi="Times New Roman" w:eastAsia="宋体" w:cs="宋体"/>
                <w:b/>
                <w:bCs/>
                <w:kern w:val="2"/>
                <w:sz w:val="24"/>
                <w:szCs w:val="24"/>
                <w:highlight w:val="none"/>
                <w:lang w:val="en-US" w:eastAsia="zh-CN" w:bidi="ar"/>
              </w:rPr>
            </w:pPr>
            <w:r>
              <w:rPr>
                <w:rStyle w:val="16"/>
                <w:rFonts w:hint="eastAsia" w:ascii="Times New Roman" w:hAnsi="Times New Roman" w:eastAsia="宋体" w:cs="宋体"/>
                <w:b/>
                <w:bCs/>
                <w:kern w:val="2"/>
                <w:sz w:val="24"/>
                <w:szCs w:val="24"/>
                <w:highlight w:val="none"/>
                <w:lang w:val="en-US" w:eastAsia="zh-CN" w:bidi="ar"/>
              </w:rPr>
              <w:t>96.49</w:t>
            </w:r>
          </w:p>
        </w:tc>
      </w:tr>
    </w:tbl>
    <w:p w14:paraId="08557C6E">
      <w:pPr>
        <w:pStyle w:val="12"/>
        <w:ind w:left="0" w:leftChars="0" w:firstLine="0" w:firstLineChars="0"/>
        <w:rPr>
          <w:rFonts w:hint="eastAsia" w:ascii="Times New Roman" w:hAnsi="Times New Roman" w:eastAsia="宋体" w:cs="宋体"/>
          <w:highlight w:val="yellow"/>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247BCF2">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106" w:name="_Toc30878"/>
      <w:bookmarkStart w:id="107" w:name="_Toc24541"/>
      <w:bookmarkStart w:id="108" w:name="_Toc12180"/>
      <w:bookmarkStart w:id="109" w:name="_Toc16649"/>
      <w:bookmarkStart w:id="110" w:name="_Toc4782"/>
      <w:r>
        <w:rPr>
          <w:rFonts w:hint="eastAsia" w:ascii="Times New Roman" w:hAnsi="Times New Roman" w:eastAsia="宋体" w:cs="宋体"/>
          <w:b/>
          <w:bCs/>
          <w:sz w:val="28"/>
          <w:szCs w:val="28"/>
          <w:highlight w:val="none"/>
          <w:lang w:val="en-US" w:eastAsia="zh-CN"/>
        </w:rPr>
        <w:t>（二）满意度问卷调查报告</w:t>
      </w:r>
      <w:bookmarkEnd w:id="106"/>
      <w:bookmarkEnd w:id="107"/>
      <w:bookmarkEnd w:id="108"/>
      <w:bookmarkEnd w:id="109"/>
      <w:bookmarkEnd w:id="110"/>
    </w:p>
    <w:p w14:paraId="1898904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宋体" w:cs="宋体"/>
          <w:b/>
          <w:bCs/>
          <w:sz w:val="30"/>
          <w:szCs w:val="30"/>
          <w:highlight w:val="none"/>
          <w:lang w:val="en-US" w:eastAsia="zh-CN"/>
        </w:rPr>
      </w:pPr>
      <w:r>
        <w:rPr>
          <w:rFonts w:hint="eastAsia" w:ascii="Times New Roman" w:hAnsi="Times New Roman" w:eastAsia="宋体" w:cs="宋体"/>
          <w:b/>
          <w:bCs/>
          <w:sz w:val="30"/>
          <w:szCs w:val="30"/>
          <w:highlight w:val="none"/>
          <w:lang w:val="en-US" w:eastAsia="zh-CN"/>
        </w:rPr>
        <w:t>甘肃人大常委会2023年度省人大常委会会议费项目绩效评价满意度调查问卷报告</w:t>
      </w:r>
    </w:p>
    <w:p w14:paraId="1BFBDE20">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111" w:name="_Toc30095"/>
      <w:bookmarkStart w:id="112" w:name="_Toc17705"/>
      <w:bookmarkStart w:id="113" w:name="_Toc20473"/>
      <w:r>
        <w:rPr>
          <w:rFonts w:hint="eastAsia" w:ascii="Times New Roman" w:hAnsi="Times New Roman" w:eastAsia="宋体" w:cs="宋体"/>
          <w:b w:val="0"/>
          <w:bCs w:val="0"/>
          <w:sz w:val="28"/>
          <w:szCs w:val="28"/>
          <w:highlight w:val="none"/>
          <w:lang w:val="en-US" w:eastAsia="zh-CN"/>
        </w:rPr>
        <w:t>一、</w:t>
      </w:r>
      <w:r>
        <w:rPr>
          <w:rFonts w:hint="eastAsia" w:ascii="Times New Roman" w:hAnsi="Times New Roman" w:eastAsia="宋体" w:cs="宋体"/>
          <w:b w:val="0"/>
          <w:bCs w:val="0"/>
          <w:sz w:val="28"/>
          <w:szCs w:val="28"/>
          <w:highlight w:val="none"/>
        </w:rPr>
        <w:t>问卷调查对象</w:t>
      </w:r>
      <w:bookmarkEnd w:id="111"/>
      <w:bookmarkEnd w:id="112"/>
      <w:bookmarkEnd w:id="113"/>
    </w:p>
    <w:p w14:paraId="11BDC01B">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本次调查对象为</w:t>
      </w:r>
      <w:r>
        <w:rPr>
          <w:rFonts w:hint="eastAsia" w:ascii="Times New Roman" w:hAnsi="Times New Roman" w:eastAsia="宋体" w:cs="宋体"/>
          <w:sz w:val="28"/>
          <w:szCs w:val="28"/>
          <w:highlight w:val="none"/>
          <w:lang w:val="en-US" w:eastAsia="zh-CN"/>
        </w:rPr>
        <w:t>甘肃人大常委会2023年度省人大常委会会议费项目参会委员和项目工作人员。</w:t>
      </w:r>
    </w:p>
    <w:p w14:paraId="6B4BC9A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114" w:name="_Toc30116"/>
      <w:bookmarkStart w:id="115" w:name="_Toc32637"/>
      <w:bookmarkStart w:id="116" w:name="_Toc19523"/>
      <w:r>
        <w:rPr>
          <w:rFonts w:hint="eastAsia" w:ascii="Times New Roman" w:hAnsi="Times New Roman" w:eastAsia="宋体" w:cs="宋体"/>
          <w:b w:val="0"/>
          <w:bCs w:val="0"/>
          <w:sz w:val="28"/>
          <w:szCs w:val="28"/>
          <w:highlight w:val="none"/>
          <w:lang w:val="en-US" w:eastAsia="zh-CN"/>
        </w:rPr>
        <w:t>二、</w:t>
      </w:r>
      <w:r>
        <w:rPr>
          <w:rFonts w:hint="eastAsia" w:ascii="Times New Roman" w:hAnsi="Times New Roman" w:eastAsia="宋体" w:cs="宋体"/>
          <w:b w:val="0"/>
          <w:bCs w:val="0"/>
          <w:sz w:val="28"/>
          <w:szCs w:val="28"/>
          <w:highlight w:val="none"/>
        </w:rPr>
        <w:t>调查内容</w:t>
      </w:r>
      <w:bookmarkEnd w:id="114"/>
      <w:bookmarkEnd w:id="115"/>
      <w:bookmarkEnd w:id="116"/>
    </w:p>
    <w:p w14:paraId="7813BBA8">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sz w:val="28"/>
          <w:szCs w:val="28"/>
          <w:highlight w:val="none"/>
          <w:lang w:val="en-US" w:eastAsia="zh-CN"/>
        </w:rPr>
      </w:pPr>
      <w:bookmarkStart w:id="117" w:name="_Toc23751"/>
      <w:bookmarkStart w:id="118" w:name="_Toc6923"/>
      <w:bookmarkStart w:id="119" w:name="_Toc27479"/>
      <w:r>
        <w:rPr>
          <w:rFonts w:hint="eastAsia" w:ascii="Times New Roman" w:hAnsi="Times New Roman" w:eastAsia="宋体" w:cs="宋体"/>
          <w:b/>
          <w:bCs/>
          <w:sz w:val="28"/>
          <w:szCs w:val="28"/>
          <w:highlight w:val="none"/>
          <w:lang w:val="en-US" w:eastAsia="zh-CN"/>
        </w:rPr>
        <w:t>项目参会委员：</w:t>
      </w:r>
      <w:r>
        <w:rPr>
          <w:rFonts w:hint="eastAsia" w:ascii="Times New Roman" w:hAnsi="Times New Roman" w:eastAsia="宋体" w:cs="宋体"/>
          <w:sz w:val="28"/>
          <w:szCs w:val="28"/>
          <w:highlight w:val="none"/>
          <w:lang w:val="en-US" w:eastAsia="zh-CN"/>
        </w:rPr>
        <w:t>甘肃人大常委会2023年度省人大常委会会议费项目中参会委员的个人信息；是否清楚甘肃人大常委会2023年度省人大常委会会议费项目整体流程；甘肃人大常委会2023年度省人大常委会会议费项目是否征集过人大代表的意见或建议；项目实施后保障效果如何；对甘肃人大常委会2023年度省人大常委会会议费项目的实施效果；对甘肃人大常委会2023年度省人大常委会会议费项目整体工作的满意度；对甘肃人大常委会2023年度省人大常委会会议费项目维护法治促进民主发展提升性的满意度；对甘肃人大常委会2023年度省人大常委会会议费项目民生经济发展保障性的满意度；对甘肃人大常委会2023年度省人大常委会会议费项目整体流程的满意度；对甘肃人大常委会2023年度省人大常委会会议费项目工作效率的满意度等。</w:t>
      </w:r>
    </w:p>
    <w:p w14:paraId="046752E8">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项目工作人员：</w:t>
      </w:r>
      <w:r>
        <w:rPr>
          <w:rFonts w:hint="eastAsia" w:ascii="Times New Roman" w:hAnsi="Times New Roman" w:eastAsia="宋体" w:cs="宋体"/>
          <w:sz w:val="28"/>
          <w:szCs w:val="28"/>
          <w:highlight w:val="none"/>
          <w:lang w:val="en-US" w:eastAsia="zh-CN"/>
        </w:rPr>
        <w:t>甘肃人大常委会2023年度省人大常委会会议费项目中工作人员的个人信息；是否清楚甘肃人大常委会2023年度省人大常委会会议费项目的进度；是否清楚目前自己的工作职责内容；对甘肃人大常委会2023年度省人大常委会会议费项目整体工作的满意度；对甘肃人大常委会2023年度省人大常委会会议费项目经费使用范围及金额分配的满意度；对甘肃人大常委会2023年度省人大常委会会议费项目人员分配及职责部署的满意度；对甘肃人大常委会2023年度省人大常委会会议费项目总体成效的满意度等。</w:t>
      </w:r>
    </w:p>
    <w:p w14:paraId="694256CF">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r>
        <w:rPr>
          <w:rFonts w:hint="eastAsia" w:ascii="Times New Roman" w:hAnsi="Times New Roman" w:eastAsia="宋体" w:cs="宋体"/>
          <w:b w:val="0"/>
          <w:bCs w:val="0"/>
          <w:sz w:val="28"/>
          <w:szCs w:val="28"/>
          <w:highlight w:val="none"/>
          <w:lang w:val="en-US" w:eastAsia="zh-CN"/>
        </w:rPr>
        <w:t>三、</w:t>
      </w:r>
      <w:r>
        <w:rPr>
          <w:rFonts w:hint="eastAsia" w:ascii="Times New Roman" w:hAnsi="Times New Roman" w:eastAsia="宋体" w:cs="宋体"/>
          <w:b w:val="0"/>
          <w:bCs w:val="0"/>
          <w:sz w:val="28"/>
          <w:szCs w:val="28"/>
          <w:highlight w:val="none"/>
        </w:rPr>
        <w:t>调查方法</w:t>
      </w:r>
      <w:bookmarkEnd w:id="117"/>
      <w:bookmarkEnd w:id="118"/>
      <w:bookmarkEnd w:id="119"/>
    </w:p>
    <w:p w14:paraId="1521973D">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本次问卷调查采取</w:t>
      </w:r>
      <w:r>
        <w:rPr>
          <w:rFonts w:hint="eastAsia" w:ascii="Times New Roman" w:hAnsi="Times New Roman" w:eastAsia="宋体" w:cs="宋体"/>
          <w:sz w:val="28"/>
          <w:szCs w:val="28"/>
          <w:highlight w:val="none"/>
          <w:lang w:val="en-US" w:eastAsia="zh-CN"/>
        </w:rPr>
        <w:t>线下纸质</w:t>
      </w:r>
      <w:r>
        <w:rPr>
          <w:rFonts w:hint="eastAsia" w:ascii="Times New Roman" w:hAnsi="Times New Roman" w:eastAsia="宋体" w:cs="宋体"/>
          <w:sz w:val="28"/>
          <w:szCs w:val="28"/>
          <w:highlight w:val="none"/>
        </w:rPr>
        <w:t>问卷调查的方式进行，在全面调查开展之前先进行初步论证，根据论证结果对问卷和抽样方</w:t>
      </w:r>
      <w:r>
        <w:rPr>
          <w:rFonts w:hint="eastAsia" w:ascii="Times New Roman" w:hAnsi="Times New Roman" w:eastAsia="宋体" w:cs="宋体"/>
          <w:sz w:val="28"/>
          <w:szCs w:val="28"/>
          <w:highlight w:val="none"/>
          <w:lang w:val="en-US" w:eastAsia="zh-CN"/>
        </w:rPr>
        <w:t>法</w:t>
      </w:r>
      <w:r>
        <w:rPr>
          <w:rFonts w:hint="eastAsia" w:ascii="Times New Roman" w:hAnsi="Times New Roman" w:eastAsia="宋体" w:cs="宋体"/>
          <w:sz w:val="28"/>
          <w:szCs w:val="28"/>
          <w:highlight w:val="none"/>
        </w:rPr>
        <w:t>进行修改调整。</w:t>
      </w:r>
    </w:p>
    <w:p w14:paraId="1F12F7E1">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b w:val="0"/>
          <w:bCs w:val="0"/>
          <w:sz w:val="28"/>
          <w:szCs w:val="28"/>
          <w:highlight w:val="none"/>
        </w:rPr>
      </w:pPr>
      <w:bookmarkStart w:id="120" w:name="_Toc19365"/>
      <w:bookmarkStart w:id="121" w:name="_Toc28412"/>
      <w:bookmarkStart w:id="122" w:name="_Toc13679"/>
      <w:r>
        <w:rPr>
          <w:rFonts w:hint="eastAsia" w:ascii="Times New Roman" w:hAnsi="Times New Roman" w:eastAsia="宋体" w:cs="宋体"/>
          <w:b w:val="0"/>
          <w:bCs w:val="0"/>
          <w:sz w:val="28"/>
          <w:szCs w:val="28"/>
          <w:highlight w:val="none"/>
          <w:lang w:val="en-US" w:eastAsia="zh-CN"/>
        </w:rPr>
        <w:t>四、</w:t>
      </w:r>
      <w:r>
        <w:rPr>
          <w:rFonts w:hint="eastAsia" w:ascii="Times New Roman" w:hAnsi="Times New Roman" w:eastAsia="宋体" w:cs="宋体"/>
          <w:b w:val="0"/>
          <w:bCs w:val="0"/>
          <w:sz w:val="28"/>
          <w:szCs w:val="28"/>
          <w:highlight w:val="none"/>
        </w:rPr>
        <w:t>问卷的回收及分析方法</w:t>
      </w:r>
      <w:bookmarkEnd w:id="120"/>
      <w:bookmarkEnd w:id="121"/>
      <w:bookmarkEnd w:id="122"/>
    </w:p>
    <w:p w14:paraId="7C3851C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本次问卷调查采取</w:t>
      </w:r>
      <w:r>
        <w:rPr>
          <w:rFonts w:hint="eastAsia" w:ascii="Times New Roman" w:hAnsi="Times New Roman" w:eastAsia="宋体" w:cs="宋体"/>
          <w:sz w:val="28"/>
          <w:szCs w:val="28"/>
          <w:highlight w:val="none"/>
          <w:lang w:val="en-US" w:eastAsia="zh-CN"/>
        </w:rPr>
        <w:t>线下由甘肃人大常委会2023年度省人大常委会会议费项目参会委员和工作人员进行填写的</w:t>
      </w:r>
      <w:r>
        <w:rPr>
          <w:rFonts w:hint="eastAsia" w:ascii="Times New Roman" w:hAnsi="Times New Roman" w:eastAsia="宋体" w:cs="宋体"/>
          <w:sz w:val="28"/>
          <w:szCs w:val="28"/>
          <w:highlight w:val="none"/>
        </w:rPr>
        <w:t>形式开展，实际</w:t>
      </w:r>
      <w:r>
        <w:rPr>
          <w:rFonts w:hint="eastAsia" w:ascii="Times New Roman" w:hAnsi="Times New Roman" w:eastAsia="宋体" w:cs="宋体"/>
          <w:sz w:val="28"/>
          <w:szCs w:val="28"/>
          <w:highlight w:val="none"/>
          <w:lang w:val="en-US" w:eastAsia="zh-CN"/>
        </w:rPr>
        <w:t>填写的</w:t>
      </w:r>
      <w:r>
        <w:rPr>
          <w:rFonts w:hint="eastAsia" w:ascii="Times New Roman" w:hAnsi="Times New Roman" w:eastAsia="宋体" w:cs="宋体"/>
          <w:sz w:val="28"/>
          <w:szCs w:val="28"/>
          <w:highlight w:val="none"/>
          <w:lang w:eastAsia="zh-CN"/>
        </w:rPr>
        <w:t>有效问卷</w:t>
      </w:r>
      <w:r>
        <w:rPr>
          <w:rFonts w:hint="eastAsia" w:ascii="Times New Roman" w:hAnsi="Times New Roman" w:eastAsia="宋体" w:cs="宋体"/>
          <w:sz w:val="28"/>
          <w:szCs w:val="28"/>
          <w:highlight w:val="none"/>
          <w:lang w:val="en-US" w:eastAsia="zh-CN"/>
        </w:rPr>
        <w:t>100</w:t>
      </w:r>
      <w:r>
        <w:rPr>
          <w:rFonts w:hint="eastAsia" w:ascii="Times New Roman" w:hAnsi="Times New Roman" w:eastAsia="宋体" w:cs="宋体"/>
          <w:sz w:val="28"/>
          <w:szCs w:val="28"/>
          <w:highlight w:val="none"/>
          <w:lang w:eastAsia="zh-CN"/>
        </w:rPr>
        <w:t>份</w:t>
      </w:r>
      <w:r>
        <w:rPr>
          <w:rFonts w:hint="eastAsia" w:ascii="Times New Roman" w:hAnsi="Times New Roman" w:eastAsia="宋体" w:cs="宋体"/>
          <w:sz w:val="28"/>
          <w:szCs w:val="28"/>
          <w:highlight w:val="none"/>
        </w:rPr>
        <w:t>，有效问卷</w:t>
      </w:r>
      <w:r>
        <w:rPr>
          <w:rFonts w:hint="eastAsia" w:ascii="Times New Roman" w:hAnsi="Times New Roman" w:eastAsia="宋体" w:cs="宋体"/>
          <w:sz w:val="28"/>
          <w:szCs w:val="28"/>
          <w:highlight w:val="none"/>
          <w:lang w:val="en-US" w:eastAsia="zh-CN"/>
        </w:rPr>
        <w:t>填写</w:t>
      </w:r>
      <w:r>
        <w:rPr>
          <w:rFonts w:hint="eastAsia" w:ascii="Times New Roman" w:hAnsi="Times New Roman" w:eastAsia="宋体" w:cs="宋体"/>
          <w:sz w:val="28"/>
          <w:szCs w:val="28"/>
          <w:highlight w:val="none"/>
        </w:rPr>
        <w:t>率为100%，</w:t>
      </w:r>
      <w:r>
        <w:rPr>
          <w:rFonts w:hint="eastAsia" w:ascii="Times New Roman" w:hAnsi="Times New Roman" w:eastAsia="宋体" w:cs="宋体"/>
          <w:sz w:val="28"/>
          <w:szCs w:val="28"/>
          <w:highlight w:val="none"/>
          <w:lang w:val="en-US" w:eastAsia="zh-CN"/>
        </w:rPr>
        <w:t>其中甘肃人大常委会2023年度省人大常委会会议费项目参会委员有效问卷50份，甘肃人大常委会2023年度省人大常委会会议费项目中工作人员50份。</w:t>
      </w:r>
      <w:r>
        <w:rPr>
          <w:rFonts w:hint="eastAsia" w:ascii="Times New Roman" w:hAnsi="Times New Roman" w:eastAsia="宋体" w:cs="宋体"/>
          <w:sz w:val="28"/>
          <w:szCs w:val="28"/>
          <w:highlight w:val="none"/>
        </w:rPr>
        <w:t>本次调查的有效问卷</w:t>
      </w:r>
      <w:r>
        <w:rPr>
          <w:rFonts w:hint="eastAsia" w:ascii="Times New Roman" w:hAnsi="Times New Roman" w:eastAsia="宋体" w:cs="宋体"/>
          <w:sz w:val="28"/>
          <w:szCs w:val="28"/>
          <w:highlight w:val="none"/>
          <w:lang w:val="en-US" w:eastAsia="zh-CN"/>
        </w:rPr>
        <w:t>填写</w:t>
      </w:r>
      <w:r>
        <w:rPr>
          <w:rFonts w:hint="eastAsia" w:ascii="Times New Roman" w:hAnsi="Times New Roman" w:eastAsia="宋体" w:cs="宋体"/>
          <w:sz w:val="28"/>
          <w:szCs w:val="28"/>
          <w:highlight w:val="none"/>
        </w:rPr>
        <w:t>率较高，具有较强的代表性和可信度，可作为报告的依据。</w:t>
      </w:r>
    </w:p>
    <w:p w14:paraId="2FA1F404">
      <w:pPr>
        <w:keepNext w:val="0"/>
        <w:keepLines w:val="0"/>
        <w:pageBreakBefore w:val="0"/>
        <w:widowControl w:val="0"/>
        <w:kinsoku/>
        <w:wordWrap/>
        <w:overflowPunct/>
        <w:topLinePunct w:val="0"/>
        <w:autoSpaceDE/>
        <w:autoSpaceDN/>
        <w:bidi w:val="0"/>
        <w:adjustRightInd/>
        <w:snapToGrid/>
        <w:spacing w:line="600" w:lineRule="exact"/>
        <w:ind w:left="0"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根据</w:t>
      </w:r>
      <w:r>
        <w:rPr>
          <w:rFonts w:hint="eastAsia" w:ascii="Times New Roman" w:hAnsi="Times New Roman" w:eastAsia="宋体" w:cs="宋体"/>
          <w:sz w:val="28"/>
          <w:szCs w:val="28"/>
          <w:highlight w:val="none"/>
          <w:lang w:val="en-US" w:eastAsia="zh-CN"/>
        </w:rPr>
        <w:t>甘肃人大常委会2023年度省人大常委会会议费项目</w:t>
      </w:r>
      <w:r>
        <w:rPr>
          <w:rFonts w:hint="eastAsia" w:ascii="Times New Roman" w:hAnsi="Times New Roman" w:eastAsia="宋体" w:cs="宋体"/>
          <w:sz w:val="28"/>
          <w:szCs w:val="28"/>
          <w:highlight w:val="none"/>
        </w:rPr>
        <w:t>绩效</w:t>
      </w:r>
      <w:r>
        <w:rPr>
          <w:rFonts w:hint="eastAsia" w:ascii="Times New Roman" w:hAnsi="Times New Roman" w:eastAsia="宋体" w:cs="宋体"/>
          <w:sz w:val="28"/>
          <w:szCs w:val="28"/>
          <w:highlight w:val="none"/>
          <w:lang w:val="en-US" w:eastAsia="zh-CN"/>
        </w:rPr>
        <w:t>评价</w:t>
      </w:r>
      <w:r>
        <w:rPr>
          <w:rFonts w:hint="eastAsia" w:ascii="Times New Roman" w:hAnsi="Times New Roman" w:eastAsia="宋体" w:cs="宋体"/>
          <w:sz w:val="28"/>
          <w:szCs w:val="28"/>
          <w:highlight w:val="none"/>
        </w:rPr>
        <w:t>实际调研情况，本次问卷数据分析采用描述性分析法。具体分析采用</w:t>
      </w:r>
      <w:r>
        <w:rPr>
          <w:rFonts w:hint="eastAsia" w:ascii="Times New Roman" w:hAnsi="Times New Roman" w:eastAsia="宋体" w:cs="宋体"/>
          <w:sz w:val="28"/>
          <w:szCs w:val="28"/>
          <w:highlight w:val="none"/>
          <w:lang w:val="en-US" w:eastAsia="zh-CN"/>
        </w:rPr>
        <w:t>EXCEL、图表等</w:t>
      </w:r>
      <w:r>
        <w:rPr>
          <w:rFonts w:hint="eastAsia" w:ascii="Times New Roman" w:hAnsi="Times New Roman" w:eastAsia="宋体" w:cs="宋体"/>
          <w:sz w:val="28"/>
          <w:szCs w:val="28"/>
          <w:highlight w:val="none"/>
        </w:rPr>
        <w:t>。</w:t>
      </w:r>
    </w:p>
    <w:p w14:paraId="72407201">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Times New Roman" w:hAnsi="Times New Roman" w:eastAsia="宋体" w:cs="宋体"/>
          <w:b w:val="0"/>
          <w:bCs w:val="0"/>
          <w:sz w:val="28"/>
          <w:szCs w:val="28"/>
          <w:highlight w:val="none"/>
        </w:rPr>
      </w:pPr>
      <w:bookmarkStart w:id="123" w:name="_Toc19497"/>
      <w:bookmarkStart w:id="124" w:name="_Toc30987"/>
      <w:bookmarkStart w:id="125" w:name="_Toc8733"/>
      <w:r>
        <w:rPr>
          <w:rFonts w:hint="eastAsia" w:ascii="Times New Roman" w:hAnsi="Times New Roman" w:eastAsia="宋体" w:cs="宋体"/>
          <w:b w:val="0"/>
          <w:bCs w:val="0"/>
          <w:sz w:val="28"/>
          <w:szCs w:val="28"/>
          <w:highlight w:val="none"/>
        </w:rPr>
        <w:t>问卷详情及分析</w:t>
      </w:r>
      <w:bookmarkEnd w:id="123"/>
      <w:bookmarkEnd w:id="124"/>
      <w:bookmarkEnd w:id="125"/>
    </w:p>
    <w:p w14:paraId="120F56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9"/>
        <w:rPr>
          <w:rFonts w:hint="eastAsia" w:ascii="Times New Roman" w:hAnsi="Times New Roman" w:eastAsia="宋体" w:cs="宋体"/>
          <w:b w:val="0"/>
          <w:bCs w:val="0"/>
          <w:sz w:val="28"/>
          <w:szCs w:val="28"/>
          <w:highlight w:val="none"/>
        </w:rPr>
      </w:pPr>
    </w:p>
    <w:p w14:paraId="1BA1C2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9"/>
        <w:rPr>
          <w:rFonts w:hint="eastAsia" w:ascii="Times New Roman" w:hAnsi="Times New Roman" w:eastAsia="宋体" w:cs="宋体"/>
          <w:b w:val="0"/>
          <w:bCs w:val="0"/>
          <w:sz w:val="28"/>
          <w:szCs w:val="28"/>
          <w:highlight w:val="none"/>
        </w:rPr>
      </w:pPr>
    </w:p>
    <w:p w14:paraId="19B9AC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9"/>
        <w:rPr>
          <w:rFonts w:hint="eastAsia" w:ascii="Times New Roman" w:hAnsi="Times New Roman" w:eastAsia="宋体" w:cs="宋体"/>
          <w:b w:val="0"/>
          <w:bCs w:val="0"/>
          <w:sz w:val="28"/>
          <w:szCs w:val="28"/>
          <w:highlight w:val="none"/>
        </w:rPr>
      </w:pPr>
    </w:p>
    <w:p w14:paraId="000934D8">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lang w:val="en-US" w:eastAsia="zh-CN"/>
        </w:rPr>
        <w:t>表1 甘肃人大常委会2023年度省人大常委会会议费项目中参会委员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个人信息</w:t>
      </w:r>
      <w:r>
        <w:rPr>
          <w:rFonts w:hint="eastAsia" w:ascii="Times New Roman" w:hAnsi="Times New Roman" w:eastAsia="宋体" w:cs="宋体"/>
          <w:b/>
          <w:bCs/>
          <w:sz w:val="24"/>
          <w:szCs w:val="24"/>
          <w:highlight w:val="none"/>
        </w:rPr>
        <w:t>情况统计表</w:t>
      </w:r>
    </w:p>
    <w:tbl>
      <w:tblPr>
        <w:tblStyle w:val="13"/>
        <w:tblW w:w="835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3"/>
        <w:gridCol w:w="2810"/>
        <w:gridCol w:w="1362"/>
        <w:gridCol w:w="1408"/>
      </w:tblGrid>
      <w:tr w14:paraId="5C4FB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3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A88B">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一、个人信息</w:t>
            </w:r>
          </w:p>
        </w:tc>
      </w:tr>
      <w:tr w14:paraId="3CAFC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636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60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3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42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F7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69DF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0A8057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1.您的性别为</w:t>
            </w: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0FEEA36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A.男</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3A2F65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43</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6C5FB9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86%</w:t>
            </w:r>
          </w:p>
        </w:tc>
      </w:tr>
      <w:tr w14:paraId="5FA3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1DCD779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71FDA50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B.女</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74658C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1B7704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14%</w:t>
            </w:r>
          </w:p>
        </w:tc>
      </w:tr>
      <w:tr w14:paraId="12137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2FF80EC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2.您的民族为</w:t>
            </w: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389BEFE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A.汉族</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747A1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46</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496D89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92%</w:t>
            </w:r>
          </w:p>
        </w:tc>
      </w:tr>
      <w:tr w14:paraId="7555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7671BA5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810" w:type="dxa"/>
            <w:tcBorders>
              <w:top w:val="single" w:color="000000" w:sz="4" w:space="0"/>
              <w:left w:val="single" w:color="000000" w:sz="4" w:space="0"/>
              <w:bottom w:val="single" w:color="000000" w:sz="4" w:space="0"/>
              <w:right w:val="single" w:color="000000" w:sz="4" w:space="0"/>
            </w:tcBorders>
            <w:noWrap/>
            <w:vAlign w:val="center"/>
          </w:tcPr>
          <w:p w14:paraId="3E455E8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B.少数民族</w:t>
            </w:r>
          </w:p>
        </w:tc>
        <w:tc>
          <w:tcPr>
            <w:tcW w:w="1362" w:type="dxa"/>
            <w:tcBorders>
              <w:top w:val="single" w:color="000000" w:sz="4" w:space="0"/>
              <w:left w:val="single" w:color="000000" w:sz="4" w:space="0"/>
              <w:bottom w:val="single" w:color="000000" w:sz="4" w:space="0"/>
              <w:right w:val="single" w:color="000000" w:sz="4" w:space="0"/>
            </w:tcBorders>
            <w:noWrap/>
            <w:vAlign w:val="center"/>
          </w:tcPr>
          <w:p w14:paraId="2ACC6B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noWrap/>
            <w:vAlign w:val="center"/>
          </w:tcPr>
          <w:p w14:paraId="2A75B41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r>
    </w:tbl>
    <w:p w14:paraId="59FB2D4F">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r>
        <w:rPr>
          <w:rFonts w:hint="eastAsia" w:ascii="Times New Roman" w:hAnsi="Times New Roman" w:eastAsia="宋体" w:cs="宋体"/>
          <w:sz w:val="28"/>
          <w:szCs w:val="28"/>
          <w:highlight w:val="yellow"/>
          <w:lang w:eastAsia="zh-CN"/>
        </w:rPr>
        <w:drawing>
          <wp:anchor distT="0" distB="0" distL="114300" distR="114300" simplePos="0" relativeHeight="251659264" behindDoc="0" locked="0" layoutInCell="1" allowOverlap="1">
            <wp:simplePos x="0" y="0"/>
            <wp:positionH relativeFrom="column">
              <wp:posOffset>62230</wp:posOffset>
            </wp:positionH>
            <wp:positionV relativeFrom="paragraph">
              <wp:posOffset>229870</wp:posOffset>
            </wp:positionV>
            <wp:extent cx="5308600" cy="2775585"/>
            <wp:effectExtent l="4445" t="4445" r="11430" b="1079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28309DE">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5578A1F7">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450AC732">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57D37CD3">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1E0F2683">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 w:val="28"/>
          <w:szCs w:val="28"/>
          <w:highlight w:val="yellow"/>
        </w:rPr>
      </w:pPr>
    </w:p>
    <w:p w14:paraId="0AA8EF8E">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宋体" w:cs="宋体"/>
          <w:sz w:val="28"/>
          <w:szCs w:val="28"/>
          <w:highlight w:val="yellow"/>
        </w:rPr>
      </w:pPr>
    </w:p>
    <w:p w14:paraId="541A752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通过问卷统计，发现</w:t>
      </w:r>
      <w:r>
        <w:rPr>
          <w:rFonts w:hint="eastAsia" w:ascii="Times New Roman" w:hAnsi="Times New Roman" w:eastAsia="宋体" w:cs="宋体"/>
          <w:sz w:val="28"/>
          <w:szCs w:val="28"/>
          <w:highlight w:val="none"/>
          <w:lang w:val="en-US" w:eastAsia="zh-CN"/>
        </w:rPr>
        <w:t>甘肃人大常委会2023年度省人大常委会会议费项目参会委员中，男性占43人，女性占7人，汉族占大多数。</w:t>
      </w:r>
    </w:p>
    <w:p w14:paraId="0D27E1EA">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highlight w:val="none"/>
          <w:lang w:val="en-US" w:eastAsia="zh-CN"/>
        </w:rPr>
      </w:pPr>
      <w:r>
        <w:rPr>
          <w:rFonts w:hint="eastAsia" w:ascii="Times New Roman" w:hAnsi="Times New Roman" w:eastAsia="宋体" w:cs="宋体"/>
          <w:b/>
          <w:bCs/>
          <w:sz w:val="24"/>
          <w:szCs w:val="24"/>
          <w:highlight w:val="none"/>
          <w:lang w:val="en-US" w:eastAsia="zh-CN"/>
        </w:rPr>
        <w:t>表2 甘肃人大常委会2023年度省人大常委会会议费项目中参会委员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基本问题</w:t>
      </w:r>
      <w:r>
        <w:rPr>
          <w:rFonts w:hint="eastAsia" w:ascii="Times New Roman" w:hAnsi="Times New Roman" w:eastAsia="宋体" w:cs="宋体"/>
          <w:b/>
          <w:bCs/>
          <w:sz w:val="24"/>
          <w:szCs w:val="24"/>
          <w:highlight w:val="none"/>
        </w:rPr>
        <w:t>情况统计表</w:t>
      </w:r>
    </w:p>
    <w:tbl>
      <w:tblPr>
        <w:tblStyle w:val="13"/>
        <w:tblW w:w="8300"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8"/>
        <w:gridCol w:w="2601"/>
        <w:gridCol w:w="1448"/>
        <w:gridCol w:w="1263"/>
      </w:tblGrid>
      <w:tr w14:paraId="3CD4F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blHeader/>
        </w:trPr>
        <w:tc>
          <w:tcPr>
            <w:tcW w:w="8300" w:type="dxa"/>
            <w:gridSpan w:val="4"/>
            <w:tcBorders>
              <w:tl2br w:val="nil"/>
              <w:tr2bl w:val="nil"/>
            </w:tcBorders>
            <w:shd w:val="clear" w:color="auto" w:fill="auto"/>
            <w:noWrap/>
            <w:vAlign w:val="center"/>
          </w:tcPr>
          <w:p w14:paraId="16745352">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lang w:val="en-US"/>
              </w:rPr>
            </w:pPr>
            <w:r>
              <w:rPr>
                <w:rFonts w:hint="eastAsia" w:ascii="Times New Roman" w:hAnsi="Times New Roman" w:eastAsia="宋体" w:cs="宋体"/>
                <w:b/>
                <w:bCs/>
                <w:i w:val="0"/>
                <w:iCs w:val="0"/>
                <w:color w:val="000000"/>
                <w:kern w:val="0"/>
                <w:sz w:val="24"/>
                <w:szCs w:val="24"/>
                <w:highlight w:val="none"/>
                <w:u w:val="none"/>
                <w:lang w:val="en-US" w:eastAsia="zh-CN" w:bidi="ar"/>
              </w:rPr>
              <w:t>二、基本问题</w:t>
            </w:r>
          </w:p>
        </w:tc>
      </w:tr>
      <w:tr w14:paraId="3BEC9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blHeader/>
        </w:trPr>
        <w:tc>
          <w:tcPr>
            <w:tcW w:w="2988" w:type="dxa"/>
            <w:tcBorders>
              <w:tl2br w:val="nil"/>
              <w:tr2bl w:val="nil"/>
            </w:tcBorders>
            <w:shd w:val="clear" w:color="auto" w:fill="auto"/>
            <w:noWrap/>
            <w:vAlign w:val="center"/>
          </w:tcPr>
          <w:p w14:paraId="20971D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601" w:type="dxa"/>
            <w:tcBorders>
              <w:tl2br w:val="nil"/>
              <w:tr2bl w:val="nil"/>
            </w:tcBorders>
            <w:shd w:val="clear" w:color="auto" w:fill="auto"/>
            <w:noWrap/>
            <w:vAlign w:val="center"/>
          </w:tcPr>
          <w:p w14:paraId="48BB4F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448" w:type="dxa"/>
            <w:tcBorders>
              <w:tl2br w:val="nil"/>
              <w:tr2bl w:val="nil"/>
            </w:tcBorders>
            <w:shd w:val="clear" w:color="auto" w:fill="auto"/>
            <w:noWrap/>
            <w:vAlign w:val="center"/>
          </w:tcPr>
          <w:p w14:paraId="756211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263" w:type="dxa"/>
            <w:tcBorders>
              <w:tl2br w:val="nil"/>
              <w:tr2bl w:val="nil"/>
            </w:tcBorders>
            <w:shd w:val="clear" w:color="auto" w:fill="auto"/>
            <w:noWrap/>
            <w:vAlign w:val="center"/>
          </w:tcPr>
          <w:p w14:paraId="3DFE20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41456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restart"/>
            <w:tcBorders>
              <w:tl2br w:val="nil"/>
              <w:tr2bl w:val="nil"/>
            </w:tcBorders>
            <w:noWrap/>
            <w:vAlign w:val="center"/>
          </w:tcPr>
          <w:p w14:paraId="2E5CE62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000000"/>
                <w:kern w:val="0"/>
                <w:sz w:val="24"/>
                <w:szCs w:val="24"/>
                <w:highlight w:val="none"/>
                <w:lang w:val="en-US" w:eastAsia="zh-CN" w:bidi="ar"/>
              </w:rPr>
              <w:t>您是否清楚甘肃人大常委会2023年度省人大常委会会议费项目整体流程？</w:t>
            </w:r>
          </w:p>
        </w:tc>
        <w:tc>
          <w:tcPr>
            <w:tcW w:w="2601" w:type="dxa"/>
            <w:tcBorders>
              <w:tl2br w:val="nil"/>
              <w:tr2bl w:val="nil"/>
            </w:tcBorders>
            <w:noWrap/>
            <w:vAlign w:val="center"/>
          </w:tcPr>
          <w:p w14:paraId="4F1029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A.非常清楚</w:t>
            </w:r>
          </w:p>
        </w:tc>
        <w:tc>
          <w:tcPr>
            <w:tcW w:w="1448" w:type="dxa"/>
            <w:tcBorders>
              <w:tl2br w:val="nil"/>
              <w:tr2bl w:val="nil"/>
            </w:tcBorders>
            <w:noWrap/>
            <w:vAlign w:val="center"/>
          </w:tcPr>
          <w:p w14:paraId="30D640B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43</w:t>
            </w:r>
          </w:p>
        </w:tc>
        <w:tc>
          <w:tcPr>
            <w:tcW w:w="1263" w:type="dxa"/>
            <w:tcBorders>
              <w:tl2br w:val="nil"/>
              <w:tr2bl w:val="nil"/>
            </w:tcBorders>
            <w:noWrap/>
            <w:vAlign w:val="center"/>
          </w:tcPr>
          <w:p w14:paraId="20F0A0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86%</w:t>
            </w:r>
          </w:p>
        </w:tc>
      </w:tr>
      <w:tr w14:paraId="54864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2EE4714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4C1ED01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B.比较清楚</w:t>
            </w:r>
          </w:p>
        </w:tc>
        <w:tc>
          <w:tcPr>
            <w:tcW w:w="1448" w:type="dxa"/>
            <w:tcBorders>
              <w:tl2br w:val="nil"/>
              <w:tr2bl w:val="nil"/>
            </w:tcBorders>
            <w:noWrap/>
            <w:vAlign w:val="center"/>
          </w:tcPr>
          <w:p w14:paraId="1CE9D5E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w:t>
            </w:r>
          </w:p>
        </w:tc>
        <w:tc>
          <w:tcPr>
            <w:tcW w:w="1263" w:type="dxa"/>
            <w:tcBorders>
              <w:tl2br w:val="nil"/>
              <w:tr2bl w:val="nil"/>
            </w:tcBorders>
            <w:noWrap/>
            <w:vAlign w:val="center"/>
          </w:tcPr>
          <w:p w14:paraId="13DB608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14%</w:t>
            </w:r>
          </w:p>
        </w:tc>
      </w:tr>
      <w:tr w14:paraId="68F5E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579F9E3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25CBC9B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48" w:type="dxa"/>
            <w:tcBorders>
              <w:tl2br w:val="nil"/>
              <w:tr2bl w:val="nil"/>
            </w:tcBorders>
            <w:noWrap/>
            <w:vAlign w:val="center"/>
          </w:tcPr>
          <w:p w14:paraId="29F022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694293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208B3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75009C0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2B988FD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D.不清楚</w:t>
            </w:r>
          </w:p>
        </w:tc>
        <w:tc>
          <w:tcPr>
            <w:tcW w:w="1448" w:type="dxa"/>
            <w:tcBorders>
              <w:tl2br w:val="nil"/>
              <w:tr2bl w:val="nil"/>
            </w:tcBorders>
            <w:noWrap/>
            <w:vAlign w:val="center"/>
          </w:tcPr>
          <w:p w14:paraId="1556C8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20703E5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31D45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5" w:hRule="atLeast"/>
        </w:trPr>
        <w:tc>
          <w:tcPr>
            <w:tcW w:w="2988" w:type="dxa"/>
            <w:vMerge w:val="restart"/>
            <w:tcBorders>
              <w:tl2br w:val="nil"/>
              <w:tr2bl w:val="nil"/>
            </w:tcBorders>
            <w:noWrap/>
            <w:vAlign w:val="center"/>
          </w:tcPr>
          <w:p w14:paraId="6C1DEE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2.对于甘肃人大常委会2023年度省人大常委会会议费项目是否征集过人大代表的意见或建议？</w:t>
            </w:r>
          </w:p>
        </w:tc>
        <w:tc>
          <w:tcPr>
            <w:tcW w:w="2601" w:type="dxa"/>
            <w:tcBorders>
              <w:tl2br w:val="nil"/>
              <w:tr2bl w:val="nil"/>
            </w:tcBorders>
            <w:noWrap/>
            <w:vAlign w:val="center"/>
          </w:tcPr>
          <w:p w14:paraId="56BBA23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A.是</w:t>
            </w:r>
          </w:p>
        </w:tc>
        <w:tc>
          <w:tcPr>
            <w:tcW w:w="1448" w:type="dxa"/>
            <w:tcBorders>
              <w:tl2br w:val="nil"/>
              <w:tr2bl w:val="nil"/>
            </w:tcBorders>
            <w:noWrap/>
            <w:vAlign w:val="center"/>
          </w:tcPr>
          <w:p w14:paraId="61F6C9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50</w:t>
            </w:r>
          </w:p>
        </w:tc>
        <w:tc>
          <w:tcPr>
            <w:tcW w:w="1263" w:type="dxa"/>
            <w:tcBorders>
              <w:tl2br w:val="nil"/>
              <w:tr2bl w:val="nil"/>
            </w:tcBorders>
            <w:noWrap/>
            <w:vAlign w:val="center"/>
          </w:tcPr>
          <w:p w14:paraId="5512FD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100%</w:t>
            </w:r>
          </w:p>
        </w:tc>
      </w:tr>
      <w:tr w14:paraId="5C732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2988" w:type="dxa"/>
            <w:vMerge w:val="continue"/>
            <w:tcBorders>
              <w:tl2br w:val="nil"/>
              <w:tr2bl w:val="nil"/>
            </w:tcBorders>
            <w:noWrap/>
            <w:vAlign w:val="center"/>
          </w:tcPr>
          <w:p w14:paraId="5AEC4D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61A024C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B.否</w:t>
            </w:r>
          </w:p>
        </w:tc>
        <w:tc>
          <w:tcPr>
            <w:tcW w:w="1448" w:type="dxa"/>
            <w:tcBorders>
              <w:tl2br w:val="nil"/>
              <w:tr2bl w:val="nil"/>
            </w:tcBorders>
            <w:noWrap/>
            <w:vAlign w:val="center"/>
          </w:tcPr>
          <w:p w14:paraId="5D9C4B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44D73E2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0624A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restart"/>
            <w:tcBorders>
              <w:tl2br w:val="nil"/>
              <w:tr2bl w:val="nil"/>
            </w:tcBorders>
            <w:noWrap/>
            <w:vAlign w:val="center"/>
          </w:tcPr>
          <w:p w14:paraId="7B71452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3.您认为有哪些因素会影响项目实施？</w:t>
            </w:r>
          </w:p>
        </w:tc>
        <w:tc>
          <w:tcPr>
            <w:tcW w:w="2601" w:type="dxa"/>
            <w:tcBorders>
              <w:tl2br w:val="nil"/>
              <w:tr2bl w:val="nil"/>
            </w:tcBorders>
            <w:noWrap/>
            <w:vAlign w:val="center"/>
          </w:tcPr>
          <w:p w14:paraId="1842785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A.资金问题</w:t>
            </w:r>
          </w:p>
        </w:tc>
        <w:tc>
          <w:tcPr>
            <w:tcW w:w="1448" w:type="dxa"/>
            <w:tcBorders>
              <w:tl2br w:val="nil"/>
              <w:tr2bl w:val="nil"/>
            </w:tcBorders>
            <w:noWrap/>
            <w:vAlign w:val="center"/>
          </w:tcPr>
          <w:p w14:paraId="6AD15A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33</w:t>
            </w:r>
          </w:p>
        </w:tc>
        <w:tc>
          <w:tcPr>
            <w:tcW w:w="1263" w:type="dxa"/>
            <w:tcBorders>
              <w:tl2br w:val="nil"/>
              <w:tr2bl w:val="nil"/>
            </w:tcBorders>
            <w:noWrap/>
            <w:vAlign w:val="center"/>
          </w:tcPr>
          <w:p w14:paraId="3D69BF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66%</w:t>
            </w:r>
          </w:p>
        </w:tc>
      </w:tr>
      <w:tr w14:paraId="4585F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rPr>
        <w:tc>
          <w:tcPr>
            <w:tcW w:w="2988" w:type="dxa"/>
            <w:vMerge w:val="continue"/>
            <w:tcBorders>
              <w:tl2br w:val="nil"/>
              <w:tr2bl w:val="nil"/>
            </w:tcBorders>
            <w:noWrap/>
            <w:vAlign w:val="center"/>
          </w:tcPr>
          <w:p w14:paraId="4F8711C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3FFAAB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B.工作人员业务水平</w:t>
            </w:r>
          </w:p>
        </w:tc>
        <w:tc>
          <w:tcPr>
            <w:tcW w:w="1448" w:type="dxa"/>
            <w:tcBorders>
              <w:tl2br w:val="nil"/>
              <w:tr2bl w:val="nil"/>
            </w:tcBorders>
            <w:noWrap/>
            <w:vAlign w:val="center"/>
          </w:tcPr>
          <w:p w14:paraId="07E0157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w:t>
            </w:r>
          </w:p>
        </w:tc>
        <w:tc>
          <w:tcPr>
            <w:tcW w:w="1263" w:type="dxa"/>
            <w:tcBorders>
              <w:tl2br w:val="nil"/>
              <w:tr2bl w:val="nil"/>
            </w:tcBorders>
            <w:noWrap/>
            <w:vAlign w:val="center"/>
          </w:tcPr>
          <w:p w14:paraId="312CA28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24%</w:t>
            </w:r>
          </w:p>
        </w:tc>
      </w:tr>
      <w:tr w14:paraId="2C392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4E6D65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05F2A3A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C.基础设备配备</w:t>
            </w:r>
          </w:p>
        </w:tc>
        <w:tc>
          <w:tcPr>
            <w:tcW w:w="1448" w:type="dxa"/>
            <w:tcBorders>
              <w:tl2br w:val="nil"/>
              <w:tr2bl w:val="nil"/>
            </w:tcBorders>
            <w:noWrap/>
            <w:vAlign w:val="center"/>
          </w:tcPr>
          <w:p w14:paraId="4127D7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1263" w:type="dxa"/>
            <w:tcBorders>
              <w:tl2br w:val="nil"/>
              <w:tr2bl w:val="nil"/>
            </w:tcBorders>
            <w:noWrap/>
            <w:vAlign w:val="center"/>
          </w:tcPr>
          <w:p w14:paraId="2F7B09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r>
      <w:tr w14:paraId="4A908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46E2533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533C63E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D.其他</w:t>
            </w:r>
          </w:p>
        </w:tc>
        <w:tc>
          <w:tcPr>
            <w:tcW w:w="1448" w:type="dxa"/>
            <w:tcBorders>
              <w:tl2br w:val="nil"/>
              <w:tr2bl w:val="nil"/>
            </w:tcBorders>
            <w:noWrap/>
            <w:vAlign w:val="center"/>
          </w:tcPr>
          <w:p w14:paraId="5B28AB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263" w:type="dxa"/>
            <w:tcBorders>
              <w:tl2br w:val="nil"/>
              <w:tr2bl w:val="nil"/>
            </w:tcBorders>
            <w:noWrap/>
            <w:vAlign w:val="center"/>
          </w:tcPr>
          <w:p w14:paraId="1DB9D6E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70238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restart"/>
            <w:tcBorders>
              <w:tl2br w:val="nil"/>
              <w:tr2bl w:val="nil"/>
            </w:tcBorders>
            <w:noWrap/>
            <w:vAlign w:val="center"/>
          </w:tcPr>
          <w:p w14:paraId="2C8168D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4.您认为项目实施后保障效果如何？</w:t>
            </w:r>
          </w:p>
        </w:tc>
        <w:tc>
          <w:tcPr>
            <w:tcW w:w="2601" w:type="dxa"/>
            <w:tcBorders>
              <w:tl2br w:val="nil"/>
              <w:tr2bl w:val="nil"/>
            </w:tcBorders>
            <w:noWrap/>
            <w:vAlign w:val="center"/>
          </w:tcPr>
          <w:p w14:paraId="4AD9F46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A.效果显著</w:t>
            </w:r>
          </w:p>
        </w:tc>
        <w:tc>
          <w:tcPr>
            <w:tcW w:w="1448" w:type="dxa"/>
            <w:tcBorders>
              <w:tl2br w:val="nil"/>
              <w:tr2bl w:val="nil"/>
            </w:tcBorders>
            <w:noWrap/>
            <w:vAlign w:val="center"/>
          </w:tcPr>
          <w:p w14:paraId="478B36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42</w:t>
            </w:r>
          </w:p>
        </w:tc>
        <w:tc>
          <w:tcPr>
            <w:tcW w:w="1263" w:type="dxa"/>
            <w:tcBorders>
              <w:tl2br w:val="nil"/>
              <w:tr2bl w:val="nil"/>
            </w:tcBorders>
            <w:noWrap/>
            <w:vAlign w:val="center"/>
          </w:tcPr>
          <w:p w14:paraId="2CA7C1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84%</w:t>
            </w:r>
          </w:p>
        </w:tc>
      </w:tr>
      <w:tr w14:paraId="34D79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0428650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63E7FF8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B.效果良好</w:t>
            </w:r>
          </w:p>
        </w:tc>
        <w:tc>
          <w:tcPr>
            <w:tcW w:w="1448" w:type="dxa"/>
            <w:tcBorders>
              <w:tl2br w:val="nil"/>
              <w:tr2bl w:val="nil"/>
            </w:tcBorders>
            <w:noWrap/>
            <w:vAlign w:val="center"/>
          </w:tcPr>
          <w:p w14:paraId="08043E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c>
          <w:tcPr>
            <w:tcW w:w="1263" w:type="dxa"/>
            <w:tcBorders>
              <w:tl2br w:val="nil"/>
              <w:tr2bl w:val="nil"/>
            </w:tcBorders>
            <w:noWrap/>
            <w:vAlign w:val="center"/>
          </w:tcPr>
          <w:p w14:paraId="72E73D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16%</w:t>
            </w:r>
          </w:p>
        </w:tc>
      </w:tr>
      <w:tr w14:paraId="66342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6A5B1D7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501A30E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48" w:type="dxa"/>
            <w:tcBorders>
              <w:tl2br w:val="nil"/>
              <w:tr2bl w:val="nil"/>
            </w:tcBorders>
            <w:noWrap/>
            <w:vAlign w:val="center"/>
          </w:tcPr>
          <w:p w14:paraId="024223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1263" w:type="dxa"/>
            <w:tcBorders>
              <w:tl2br w:val="nil"/>
              <w:tr2bl w:val="nil"/>
            </w:tcBorders>
            <w:noWrap/>
            <w:vAlign w:val="center"/>
          </w:tcPr>
          <w:p w14:paraId="3A5DEC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w:t>
            </w:r>
          </w:p>
        </w:tc>
      </w:tr>
      <w:tr w14:paraId="44D19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304841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p>
        </w:tc>
        <w:tc>
          <w:tcPr>
            <w:tcW w:w="2601" w:type="dxa"/>
            <w:tcBorders>
              <w:tl2br w:val="nil"/>
              <w:tr2bl w:val="nil"/>
            </w:tcBorders>
            <w:noWrap/>
            <w:vAlign w:val="center"/>
          </w:tcPr>
          <w:p w14:paraId="7759B30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D.效果较差</w:t>
            </w:r>
          </w:p>
        </w:tc>
        <w:tc>
          <w:tcPr>
            <w:tcW w:w="1448" w:type="dxa"/>
            <w:tcBorders>
              <w:tl2br w:val="nil"/>
              <w:tr2bl w:val="nil"/>
            </w:tcBorders>
            <w:noWrap/>
            <w:vAlign w:val="center"/>
          </w:tcPr>
          <w:p w14:paraId="64A496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695954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6B05D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restart"/>
            <w:tcBorders>
              <w:tl2br w:val="nil"/>
              <w:tr2bl w:val="nil"/>
            </w:tcBorders>
            <w:noWrap/>
            <w:vAlign w:val="center"/>
          </w:tcPr>
          <w:p w14:paraId="1A8457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5.</w:t>
            </w:r>
            <w:r>
              <w:rPr>
                <w:rFonts w:hint="eastAsia" w:ascii="Times New Roman" w:hAnsi="Times New Roman" w:eastAsia="宋体" w:cs="宋体"/>
                <w:bCs/>
                <w:sz w:val="24"/>
                <w:szCs w:val="24"/>
                <w:highlight w:val="none"/>
                <w:lang w:val="en-US" w:eastAsia="zh-CN"/>
              </w:rPr>
              <w:t>您对甘肃人大常委会2023年度省人大常委会会议费项目的实施效果？</w:t>
            </w:r>
          </w:p>
        </w:tc>
        <w:tc>
          <w:tcPr>
            <w:tcW w:w="2601" w:type="dxa"/>
            <w:tcBorders>
              <w:tl2br w:val="nil"/>
              <w:tr2bl w:val="nil"/>
            </w:tcBorders>
            <w:noWrap/>
            <w:vAlign w:val="center"/>
          </w:tcPr>
          <w:p w14:paraId="23C8482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A.效果显著</w:t>
            </w:r>
          </w:p>
        </w:tc>
        <w:tc>
          <w:tcPr>
            <w:tcW w:w="1448" w:type="dxa"/>
            <w:tcBorders>
              <w:tl2br w:val="nil"/>
              <w:tr2bl w:val="nil"/>
            </w:tcBorders>
            <w:noWrap/>
            <w:vAlign w:val="center"/>
          </w:tcPr>
          <w:p w14:paraId="62E841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45</w:t>
            </w:r>
          </w:p>
        </w:tc>
        <w:tc>
          <w:tcPr>
            <w:tcW w:w="1263" w:type="dxa"/>
            <w:tcBorders>
              <w:tl2br w:val="nil"/>
              <w:tr2bl w:val="nil"/>
            </w:tcBorders>
            <w:noWrap/>
            <w:vAlign w:val="center"/>
          </w:tcPr>
          <w:p w14:paraId="07585B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90%</w:t>
            </w:r>
          </w:p>
        </w:tc>
      </w:tr>
      <w:tr w14:paraId="34CF0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7E520D5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01" w:type="dxa"/>
            <w:tcBorders>
              <w:tl2br w:val="nil"/>
              <w:tr2bl w:val="nil"/>
            </w:tcBorders>
            <w:noWrap/>
            <w:vAlign w:val="center"/>
          </w:tcPr>
          <w:p w14:paraId="439A765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B.效果良好</w:t>
            </w:r>
          </w:p>
        </w:tc>
        <w:tc>
          <w:tcPr>
            <w:tcW w:w="1448" w:type="dxa"/>
            <w:tcBorders>
              <w:tl2br w:val="nil"/>
              <w:tr2bl w:val="nil"/>
            </w:tcBorders>
            <w:noWrap/>
            <w:vAlign w:val="center"/>
          </w:tcPr>
          <w:p w14:paraId="335D96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1263" w:type="dxa"/>
            <w:tcBorders>
              <w:tl2br w:val="nil"/>
              <w:tr2bl w:val="nil"/>
            </w:tcBorders>
            <w:noWrap/>
            <w:vAlign w:val="center"/>
          </w:tcPr>
          <w:p w14:paraId="3CFBA1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10%</w:t>
            </w:r>
          </w:p>
        </w:tc>
      </w:tr>
      <w:tr w14:paraId="57AE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2988" w:type="dxa"/>
            <w:vMerge w:val="continue"/>
            <w:tcBorders>
              <w:tl2br w:val="nil"/>
              <w:tr2bl w:val="nil"/>
            </w:tcBorders>
            <w:noWrap/>
            <w:vAlign w:val="center"/>
          </w:tcPr>
          <w:p w14:paraId="41241F8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01" w:type="dxa"/>
            <w:tcBorders>
              <w:tl2br w:val="nil"/>
              <w:tr2bl w:val="nil"/>
            </w:tcBorders>
            <w:noWrap/>
            <w:vAlign w:val="center"/>
          </w:tcPr>
          <w:p w14:paraId="79437AB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448" w:type="dxa"/>
            <w:tcBorders>
              <w:tl2br w:val="nil"/>
              <w:tr2bl w:val="nil"/>
            </w:tcBorders>
            <w:noWrap/>
            <w:vAlign w:val="center"/>
          </w:tcPr>
          <w:p w14:paraId="7DD69D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164BD1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r w14:paraId="328A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988" w:type="dxa"/>
            <w:vMerge w:val="continue"/>
            <w:tcBorders>
              <w:tl2br w:val="nil"/>
              <w:tr2bl w:val="nil"/>
            </w:tcBorders>
            <w:noWrap/>
            <w:vAlign w:val="center"/>
          </w:tcPr>
          <w:p w14:paraId="6CFDCFD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601" w:type="dxa"/>
            <w:tcBorders>
              <w:tl2br w:val="nil"/>
              <w:tr2bl w:val="nil"/>
            </w:tcBorders>
            <w:noWrap/>
            <w:vAlign w:val="center"/>
          </w:tcPr>
          <w:p w14:paraId="0BA6897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D.效果较差</w:t>
            </w:r>
          </w:p>
        </w:tc>
        <w:tc>
          <w:tcPr>
            <w:tcW w:w="1448" w:type="dxa"/>
            <w:tcBorders>
              <w:tl2br w:val="nil"/>
              <w:tr2bl w:val="nil"/>
            </w:tcBorders>
            <w:noWrap/>
            <w:vAlign w:val="center"/>
          </w:tcPr>
          <w:p w14:paraId="6D04D8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263" w:type="dxa"/>
            <w:tcBorders>
              <w:tl2br w:val="nil"/>
              <w:tr2bl w:val="nil"/>
            </w:tcBorders>
            <w:noWrap/>
            <w:vAlign w:val="center"/>
          </w:tcPr>
          <w:p w14:paraId="0EBDECD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r>
    </w:tbl>
    <w:p w14:paraId="2D6248F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r>
        <w:rPr>
          <w:rFonts w:hint="eastAsia" w:ascii="Times New Roman" w:hAnsi="Times New Roman" w:eastAsia="宋体" w:cs="宋体"/>
          <w:sz w:val="28"/>
          <w:szCs w:val="28"/>
          <w:highlight w:val="none"/>
          <w:lang w:val="en-US" w:eastAsia="zh-CN"/>
        </w:rPr>
        <w:t>问卷调查结果显示，被调查人员主要集中于甘肃人大常委会2023年度省人大常委会会议费项目中的参会委员，表明此次问卷调查具有较强的代表性和可信度，可作为报告的依据；在被调查的参会委员中非常清楚甘肃人大常委会2023年度省人大常委会会议费项目整体流程的占据86%，比较清楚的占据14%；在被调查的参会委员中对于甘肃人大常委会2023年度省人大常委会会议费项目征集过人大代表的意见或建议占据100%；在被调查的参会委员中认为资金问题会影响项目实施的占据66%，工作人员业务水平的占据24%，基础设备配备的占据8%，其他占据2%；认为项目实施后保障效果显著的占据84%，效果良好的占据16%，一般的占据2%；在被调查的参会委员中对于甘肃人大常委会2023年度省人大常委会会议费项目的实施效果效果显著占据90%，效果良好占据10%。</w:t>
      </w:r>
    </w:p>
    <w:p w14:paraId="70864461">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b/>
          <w:bCs/>
          <w:sz w:val="24"/>
          <w:szCs w:val="24"/>
          <w:highlight w:val="none"/>
          <w:lang w:val="en-US" w:eastAsia="zh-CN"/>
        </w:rPr>
        <w:t>表3 甘肃人大常委会2023年度省人大常委会会议费项目中参会委员满意度问题</w:t>
      </w:r>
      <w:r>
        <w:rPr>
          <w:rFonts w:hint="eastAsia" w:ascii="Times New Roman" w:hAnsi="Times New Roman" w:eastAsia="宋体" w:cs="宋体"/>
          <w:b/>
          <w:bCs/>
          <w:sz w:val="24"/>
          <w:szCs w:val="24"/>
          <w:highlight w:val="none"/>
        </w:rPr>
        <w:t>情况统计表</w:t>
      </w:r>
    </w:p>
    <w:tbl>
      <w:tblPr>
        <w:tblStyle w:val="13"/>
        <w:tblW w:w="8540"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40"/>
        <w:gridCol w:w="2234"/>
        <w:gridCol w:w="1529"/>
        <w:gridCol w:w="1737"/>
      </w:tblGrid>
      <w:tr w14:paraId="5253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blHeader/>
        </w:trPr>
        <w:tc>
          <w:tcPr>
            <w:tcW w:w="8540" w:type="dxa"/>
            <w:gridSpan w:val="4"/>
            <w:tcBorders>
              <w:tl2br w:val="nil"/>
              <w:tr2bl w:val="nil"/>
            </w:tcBorders>
            <w:shd w:val="clear" w:color="auto" w:fill="auto"/>
            <w:noWrap/>
            <w:vAlign w:val="center"/>
          </w:tcPr>
          <w:p w14:paraId="2475983B">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三、满意度问题</w:t>
            </w:r>
          </w:p>
        </w:tc>
      </w:tr>
      <w:tr w14:paraId="6B2C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blHeader/>
        </w:trPr>
        <w:tc>
          <w:tcPr>
            <w:tcW w:w="3040" w:type="dxa"/>
            <w:tcBorders>
              <w:tl2br w:val="nil"/>
              <w:tr2bl w:val="nil"/>
            </w:tcBorders>
            <w:shd w:val="clear" w:color="auto" w:fill="auto"/>
            <w:noWrap/>
            <w:vAlign w:val="center"/>
          </w:tcPr>
          <w:p w14:paraId="6F1254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34" w:type="dxa"/>
            <w:tcBorders>
              <w:tl2br w:val="nil"/>
              <w:tr2bl w:val="nil"/>
            </w:tcBorders>
            <w:shd w:val="clear" w:color="auto" w:fill="auto"/>
            <w:noWrap/>
            <w:vAlign w:val="center"/>
          </w:tcPr>
          <w:p w14:paraId="673E32E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29" w:type="dxa"/>
            <w:tcBorders>
              <w:tl2br w:val="nil"/>
              <w:tr2bl w:val="nil"/>
            </w:tcBorders>
            <w:shd w:val="clear" w:color="auto" w:fill="auto"/>
            <w:noWrap/>
            <w:vAlign w:val="center"/>
          </w:tcPr>
          <w:p w14:paraId="089556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737" w:type="dxa"/>
            <w:tcBorders>
              <w:tl2br w:val="nil"/>
              <w:tr2bl w:val="nil"/>
            </w:tcBorders>
            <w:shd w:val="clear" w:color="auto" w:fill="auto"/>
            <w:noWrap/>
            <w:vAlign w:val="center"/>
          </w:tcPr>
          <w:p w14:paraId="38F11F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67054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1DB4E18C">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i w:val="0"/>
                <w:iCs w:val="0"/>
                <w:color w:val="262626"/>
                <w:kern w:val="0"/>
                <w:sz w:val="24"/>
                <w:szCs w:val="24"/>
                <w:highlight w:val="none"/>
                <w:u w:val="none"/>
                <w:lang w:val="en-US" w:eastAsia="zh-CN" w:bidi="ar"/>
              </w:rPr>
              <w:t>您对</w:t>
            </w:r>
            <w:r>
              <w:rPr>
                <w:rFonts w:hint="eastAsia" w:ascii="Times New Roman" w:hAnsi="Times New Roman" w:eastAsia="宋体" w:cs="宋体"/>
                <w:color w:val="000000"/>
                <w:kern w:val="0"/>
                <w:sz w:val="24"/>
                <w:szCs w:val="24"/>
                <w:highlight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整体工作的评价</w:t>
            </w:r>
          </w:p>
        </w:tc>
        <w:tc>
          <w:tcPr>
            <w:tcW w:w="2234" w:type="dxa"/>
            <w:tcBorders>
              <w:tl2br w:val="nil"/>
              <w:tr2bl w:val="nil"/>
            </w:tcBorders>
            <w:noWrap/>
            <w:vAlign w:val="center"/>
          </w:tcPr>
          <w:p w14:paraId="2F8EC4D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2BA74795">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737" w:type="dxa"/>
            <w:tcBorders>
              <w:tl2br w:val="nil"/>
              <w:tr2bl w:val="nil"/>
            </w:tcBorders>
            <w:noWrap/>
            <w:vAlign w:val="center"/>
          </w:tcPr>
          <w:p w14:paraId="2DC228C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82.00%</w:t>
            </w:r>
          </w:p>
        </w:tc>
      </w:tr>
      <w:tr w14:paraId="42AF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D505A5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A69F37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6D417B0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37" w:type="dxa"/>
            <w:tcBorders>
              <w:tl2br w:val="nil"/>
              <w:tr2bl w:val="nil"/>
            </w:tcBorders>
            <w:noWrap/>
            <w:vAlign w:val="center"/>
          </w:tcPr>
          <w:p w14:paraId="5966CCF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1BB4F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A0DF4D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64E3D30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6CAC979A">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37" w:type="dxa"/>
            <w:tcBorders>
              <w:tl2br w:val="nil"/>
              <w:tr2bl w:val="nil"/>
            </w:tcBorders>
            <w:noWrap/>
            <w:vAlign w:val="center"/>
          </w:tcPr>
          <w:p w14:paraId="7E133B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780B0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45695D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DC5BAA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6765B64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3CCF13E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0CD4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677F2A4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45845CD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1CDF373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37" w:type="dxa"/>
            <w:tcBorders>
              <w:tl2br w:val="nil"/>
              <w:tr2bl w:val="nil"/>
            </w:tcBorders>
            <w:noWrap/>
            <w:vAlign w:val="center"/>
          </w:tcPr>
          <w:p w14:paraId="4177A24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3C05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6D2F4660">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color w:val="000000"/>
                <w:kern w:val="0"/>
                <w:sz w:val="24"/>
                <w:szCs w:val="24"/>
                <w:highlight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维护法治促进民主发展提升性情况的评价</w:t>
            </w:r>
          </w:p>
        </w:tc>
        <w:tc>
          <w:tcPr>
            <w:tcW w:w="2234" w:type="dxa"/>
            <w:tcBorders>
              <w:tl2br w:val="nil"/>
              <w:tr2bl w:val="nil"/>
            </w:tcBorders>
            <w:noWrap/>
            <w:vAlign w:val="center"/>
          </w:tcPr>
          <w:p w14:paraId="3224A8D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01C8BF2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737" w:type="dxa"/>
            <w:tcBorders>
              <w:tl2br w:val="nil"/>
              <w:tr2bl w:val="nil"/>
            </w:tcBorders>
            <w:noWrap/>
            <w:vAlign w:val="center"/>
          </w:tcPr>
          <w:p w14:paraId="7D4B648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78.00%</w:t>
            </w:r>
          </w:p>
        </w:tc>
      </w:tr>
      <w:tr w14:paraId="71165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2BCC2D6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ABCF0C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0705223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737" w:type="dxa"/>
            <w:tcBorders>
              <w:tl2br w:val="nil"/>
              <w:tr2bl w:val="nil"/>
            </w:tcBorders>
            <w:noWrap/>
            <w:vAlign w:val="center"/>
          </w:tcPr>
          <w:p w14:paraId="799539A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12.00%</w:t>
            </w:r>
          </w:p>
        </w:tc>
      </w:tr>
      <w:tr w14:paraId="3CCEA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3AE18FC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139FF89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276D4E5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37" w:type="dxa"/>
            <w:tcBorders>
              <w:tl2br w:val="nil"/>
              <w:tr2bl w:val="nil"/>
            </w:tcBorders>
            <w:noWrap/>
            <w:vAlign w:val="center"/>
          </w:tcPr>
          <w:p w14:paraId="2F03AB6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53693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9DE92A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169D90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19BA78B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4A90DA1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73EF8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30E2EBC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08FDDC9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07472A3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3A43961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1A269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701F305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color w:val="000000"/>
                <w:kern w:val="0"/>
                <w:sz w:val="24"/>
                <w:szCs w:val="24"/>
                <w:highlight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民生经济发展保障性的评价</w:t>
            </w:r>
          </w:p>
        </w:tc>
        <w:tc>
          <w:tcPr>
            <w:tcW w:w="2234" w:type="dxa"/>
            <w:tcBorders>
              <w:tl2br w:val="nil"/>
              <w:tr2bl w:val="nil"/>
            </w:tcBorders>
            <w:noWrap/>
            <w:vAlign w:val="center"/>
          </w:tcPr>
          <w:p w14:paraId="5D55B96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4C4937D2">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737" w:type="dxa"/>
            <w:tcBorders>
              <w:tl2br w:val="nil"/>
              <w:tr2bl w:val="nil"/>
            </w:tcBorders>
            <w:noWrap/>
            <w:vAlign w:val="center"/>
          </w:tcPr>
          <w:p w14:paraId="3216393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92.00%</w:t>
            </w:r>
          </w:p>
        </w:tc>
      </w:tr>
      <w:tr w14:paraId="15EFF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1F83B15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3B6BA6F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5C60B6A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37" w:type="dxa"/>
            <w:tcBorders>
              <w:tl2br w:val="nil"/>
              <w:tr2bl w:val="nil"/>
            </w:tcBorders>
            <w:noWrap/>
            <w:vAlign w:val="center"/>
          </w:tcPr>
          <w:p w14:paraId="6A5121D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42818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49AF75B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40D1576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218F1CE9">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37" w:type="dxa"/>
            <w:tcBorders>
              <w:tl2br w:val="nil"/>
              <w:tr2bl w:val="nil"/>
            </w:tcBorders>
            <w:noWrap/>
            <w:vAlign w:val="center"/>
          </w:tcPr>
          <w:p w14:paraId="531ED59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49767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8ACF20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7605098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424430B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025CCE4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79D2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5B8888D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AFE3E7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694AC804">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264A63E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11966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4978CE31">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color w:val="000000"/>
                <w:kern w:val="0"/>
                <w:sz w:val="24"/>
                <w:szCs w:val="24"/>
                <w:highlight w:val="none"/>
                <w:lang w:val="en-US" w:eastAsia="zh-CN" w:bidi="ar"/>
              </w:rPr>
              <w:t>甘肃人大常委会2023年度省人大常委会会议费项目整体流程</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2234" w:type="dxa"/>
            <w:tcBorders>
              <w:tl2br w:val="nil"/>
              <w:tr2bl w:val="nil"/>
            </w:tcBorders>
            <w:noWrap/>
            <w:vAlign w:val="center"/>
          </w:tcPr>
          <w:p w14:paraId="5012568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7C81C35B">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737" w:type="dxa"/>
            <w:tcBorders>
              <w:tl2br w:val="nil"/>
              <w:tr2bl w:val="nil"/>
            </w:tcBorders>
            <w:noWrap/>
            <w:vAlign w:val="center"/>
          </w:tcPr>
          <w:p w14:paraId="27CCA10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82.00%</w:t>
            </w:r>
          </w:p>
        </w:tc>
      </w:tr>
      <w:tr w14:paraId="3A015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C9F219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49FFB4F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705A03E7">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37" w:type="dxa"/>
            <w:tcBorders>
              <w:tl2br w:val="nil"/>
              <w:tr2bl w:val="nil"/>
            </w:tcBorders>
            <w:noWrap/>
            <w:vAlign w:val="center"/>
          </w:tcPr>
          <w:p w14:paraId="6734EA1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1B4C6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317AAEA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3296030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78EF12A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37" w:type="dxa"/>
            <w:tcBorders>
              <w:tl2br w:val="nil"/>
              <w:tr2bl w:val="nil"/>
            </w:tcBorders>
            <w:noWrap/>
            <w:vAlign w:val="center"/>
          </w:tcPr>
          <w:p w14:paraId="2289BBE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5663E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4CE6C43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BD703E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1FF69CD5">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37" w:type="dxa"/>
            <w:tcBorders>
              <w:tl2br w:val="nil"/>
              <w:tr2bl w:val="nil"/>
            </w:tcBorders>
            <w:noWrap/>
            <w:vAlign w:val="center"/>
          </w:tcPr>
          <w:p w14:paraId="13A7750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4C202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215C405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3441E94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0EE7E17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37" w:type="dxa"/>
            <w:tcBorders>
              <w:tl2br w:val="nil"/>
              <w:tr2bl w:val="nil"/>
            </w:tcBorders>
            <w:noWrap/>
            <w:vAlign w:val="center"/>
          </w:tcPr>
          <w:p w14:paraId="2E334DD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5757C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restart"/>
            <w:tcBorders>
              <w:tl2br w:val="nil"/>
              <w:tr2bl w:val="nil"/>
            </w:tcBorders>
            <w:noWrap/>
            <w:vAlign w:val="center"/>
          </w:tcPr>
          <w:p w14:paraId="226B0B79">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5.</w:t>
            </w:r>
            <w:r>
              <w:rPr>
                <w:rFonts w:hint="eastAsia" w:ascii="Times New Roman" w:hAnsi="Times New Roman" w:eastAsia="宋体" w:cs="宋体"/>
                <w:color w:val="000000"/>
                <w:kern w:val="0"/>
                <w:sz w:val="24"/>
                <w:szCs w:val="24"/>
                <w:highlight w:val="none"/>
                <w:lang w:val="en-US" w:eastAsia="zh-CN" w:bidi="ar"/>
              </w:rPr>
              <w:t>您对甘肃人大常委会2023年度省人大常委会会议费项目工作效率的评价</w:t>
            </w:r>
          </w:p>
        </w:tc>
        <w:tc>
          <w:tcPr>
            <w:tcW w:w="2234" w:type="dxa"/>
            <w:tcBorders>
              <w:tl2br w:val="nil"/>
              <w:tr2bl w:val="nil"/>
            </w:tcBorders>
            <w:noWrap/>
            <w:vAlign w:val="center"/>
          </w:tcPr>
          <w:p w14:paraId="2170B86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29" w:type="dxa"/>
            <w:tcBorders>
              <w:tl2br w:val="nil"/>
              <w:tr2bl w:val="nil"/>
            </w:tcBorders>
            <w:noWrap/>
            <w:vAlign w:val="center"/>
          </w:tcPr>
          <w:p w14:paraId="258D1FE5">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737" w:type="dxa"/>
            <w:tcBorders>
              <w:tl2br w:val="nil"/>
              <w:tr2bl w:val="nil"/>
            </w:tcBorders>
            <w:noWrap/>
            <w:vAlign w:val="center"/>
          </w:tcPr>
          <w:p w14:paraId="62FAE1E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84.00%</w:t>
            </w:r>
          </w:p>
        </w:tc>
      </w:tr>
      <w:tr w14:paraId="203F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77BDE4F">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24C75D3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29" w:type="dxa"/>
            <w:tcBorders>
              <w:tl2br w:val="nil"/>
              <w:tr2bl w:val="nil"/>
            </w:tcBorders>
            <w:noWrap/>
            <w:vAlign w:val="center"/>
          </w:tcPr>
          <w:p w14:paraId="669A787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737" w:type="dxa"/>
            <w:tcBorders>
              <w:tl2br w:val="nil"/>
              <w:tr2bl w:val="nil"/>
            </w:tcBorders>
            <w:noWrap/>
            <w:vAlign w:val="center"/>
          </w:tcPr>
          <w:p w14:paraId="63B361D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8.00%</w:t>
            </w:r>
          </w:p>
        </w:tc>
      </w:tr>
      <w:tr w14:paraId="7A17D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0D7FA33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52FECE1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29" w:type="dxa"/>
            <w:tcBorders>
              <w:tl2br w:val="nil"/>
              <w:tr2bl w:val="nil"/>
            </w:tcBorders>
            <w:noWrap/>
            <w:vAlign w:val="center"/>
          </w:tcPr>
          <w:p w14:paraId="5AE01C2B">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737" w:type="dxa"/>
            <w:tcBorders>
              <w:tl2br w:val="nil"/>
              <w:tr2bl w:val="nil"/>
            </w:tcBorders>
            <w:noWrap/>
            <w:vAlign w:val="center"/>
          </w:tcPr>
          <w:p w14:paraId="3DF01EA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4.00%</w:t>
            </w:r>
          </w:p>
        </w:tc>
      </w:tr>
      <w:tr w14:paraId="26D2B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40" w:type="dxa"/>
            <w:vMerge w:val="continue"/>
            <w:tcBorders>
              <w:tl2br w:val="nil"/>
              <w:tr2bl w:val="nil"/>
            </w:tcBorders>
            <w:noWrap/>
            <w:vAlign w:val="center"/>
          </w:tcPr>
          <w:p w14:paraId="71F21B6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110A920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29" w:type="dxa"/>
            <w:tcBorders>
              <w:tl2br w:val="nil"/>
              <w:tr2bl w:val="nil"/>
            </w:tcBorders>
            <w:noWrap/>
            <w:vAlign w:val="center"/>
          </w:tcPr>
          <w:p w14:paraId="4A3C914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37" w:type="dxa"/>
            <w:tcBorders>
              <w:tl2br w:val="nil"/>
              <w:tr2bl w:val="nil"/>
            </w:tcBorders>
            <w:noWrap/>
            <w:vAlign w:val="center"/>
          </w:tcPr>
          <w:p w14:paraId="6E66C3F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6626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3040" w:type="dxa"/>
            <w:vMerge w:val="continue"/>
            <w:tcBorders>
              <w:tl2br w:val="nil"/>
              <w:tr2bl w:val="nil"/>
            </w:tcBorders>
            <w:noWrap/>
            <w:vAlign w:val="center"/>
          </w:tcPr>
          <w:p w14:paraId="56FA6B2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34" w:type="dxa"/>
            <w:tcBorders>
              <w:tl2br w:val="nil"/>
              <w:tr2bl w:val="nil"/>
            </w:tcBorders>
            <w:noWrap/>
            <w:vAlign w:val="center"/>
          </w:tcPr>
          <w:p w14:paraId="140BC3A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29" w:type="dxa"/>
            <w:tcBorders>
              <w:tl2br w:val="nil"/>
              <w:tr2bl w:val="nil"/>
            </w:tcBorders>
            <w:noWrap/>
            <w:vAlign w:val="center"/>
          </w:tcPr>
          <w:p w14:paraId="00CB1FE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37" w:type="dxa"/>
            <w:tcBorders>
              <w:tl2br w:val="nil"/>
              <w:tr2bl w:val="nil"/>
            </w:tcBorders>
            <w:noWrap/>
            <w:vAlign w:val="center"/>
          </w:tcPr>
          <w:p w14:paraId="22BE00F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bl>
    <w:p w14:paraId="4850A32B">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r>
        <w:rPr>
          <w:rFonts w:hint="eastAsia" w:ascii="Times New Roman" w:hAnsi="Times New Roman" w:eastAsia="宋体" w:cs="宋体"/>
          <w:szCs w:val="32"/>
          <w:highlight w:val="yellow"/>
          <w:lang w:eastAsia="zh-CN"/>
        </w:rPr>
        <w:drawing>
          <wp:anchor distT="0" distB="0" distL="114300" distR="114300" simplePos="0" relativeHeight="251660288" behindDoc="0" locked="0" layoutInCell="1" allowOverlap="1">
            <wp:simplePos x="0" y="0"/>
            <wp:positionH relativeFrom="column">
              <wp:posOffset>-1905</wp:posOffset>
            </wp:positionH>
            <wp:positionV relativeFrom="paragraph">
              <wp:posOffset>22860</wp:posOffset>
            </wp:positionV>
            <wp:extent cx="5337810" cy="2372995"/>
            <wp:effectExtent l="4445" t="4445" r="10795" b="1333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88A81BF">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4B1A250A">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1BC77779">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43BF4DA9">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47013E4C">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szCs w:val="32"/>
          <w:highlight w:val="yellow"/>
          <w:lang w:eastAsia="zh-CN"/>
        </w:rPr>
      </w:pPr>
    </w:p>
    <w:p w14:paraId="5A2BA24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调查的甘肃人大常委会2023年度省人大常委会会议费项目参会委员中，有83.2%的参会委员对甘肃人大常委会2023年度省人大常委会会议费项目表示非常满意，有8.8%的参会委员表示比较满意，有6.6%的参会委员表示基本满意，有1.4%的参会委员表示不太满意，有0%的参会委员表示非常不满意。</w:t>
      </w:r>
    </w:p>
    <w:p w14:paraId="2109409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sz w:val="28"/>
          <w:szCs w:val="28"/>
          <w:highlight w:val="none"/>
        </w:rPr>
        <w:t>本次满意度计算采取百分制通用计算公式：满意度分数=非常满意比例×100+比较满意比例×80+基本满意×60+不太满意比例×40+非常不满意×0。计算出</w:t>
      </w:r>
      <w:r>
        <w:rPr>
          <w:rFonts w:hint="eastAsia" w:ascii="Times New Roman" w:hAnsi="Times New Roman" w:eastAsia="宋体" w:cs="宋体"/>
          <w:sz w:val="28"/>
          <w:szCs w:val="28"/>
          <w:highlight w:val="none"/>
          <w:lang w:val="en-US" w:eastAsia="zh-CN"/>
        </w:rPr>
        <w:t>甘肃人大常委会2023年度省人大常委会会议费项目参会委员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95.11%</w:t>
      </w:r>
      <w:r>
        <w:rPr>
          <w:rFonts w:hint="eastAsia" w:ascii="Times New Roman" w:hAnsi="Times New Roman" w:eastAsia="宋体" w:cs="宋体"/>
          <w:sz w:val="28"/>
          <w:szCs w:val="28"/>
          <w:highlight w:val="none"/>
        </w:rPr>
        <w:t>。</w:t>
      </w:r>
    </w:p>
    <w:p w14:paraId="3D3F60B4">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rPr>
      </w:pPr>
    </w:p>
    <w:p w14:paraId="590A176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p>
    <w:p w14:paraId="1953371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Times New Roman" w:hAnsi="Times New Roman" w:eastAsia="宋体" w:cs="宋体"/>
          <w:b/>
          <w:bCs/>
          <w:sz w:val="24"/>
          <w:szCs w:val="24"/>
          <w:highlight w:val="none"/>
        </w:rPr>
      </w:pPr>
      <w:r>
        <w:rPr>
          <w:rFonts w:hint="eastAsia" w:ascii="Times New Roman" w:hAnsi="Times New Roman" w:eastAsia="宋体" w:cs="宋体"/>
          <w:b/>
          <w:bCs/>
          <w:sz w:val="24"/>
          <w:szCs w:val="24"/>
          <w:highlight w:val="none"/>
          <w:lang w:val="en-US" w:eastAsia="zh-CN"/>
        </w:rPr>
        <w:t>表4 甘肃人大常委会2023年度省人大常委会会议费项目工作人员调查问</w:t>
      </w:r>
      <w:r>
        <w:rPr>
          <w:rFonts w:hint="eastAsia" w:ascii="Times New Roman" w:hAnsi="Times New Roman" w:eastAsia="宋体" w:cs="宋体"/>
          <w:b/>
          <w:bCs/>
          <w:sz w:val="24"/>
          <w:szCs w:val="24"/>
          <w:highlight w:val="none"/>
        </w:rPr>
        <w:t>卷</w:t>
      </w:r>
      <w:r>
        <w:rPr>
          <w:rFonts w:hint="eastAsia" w:ascii="Times New Roman" w:hAnsi="Times New Roman" w:eastAsia="宋体" w:cs="宋体"/>
          <w:b/>
          <w:bCs/>
          <w:sz w:val="24"/>
          <w:szCs w:val="24"/>
          <w:highlight w:val="none"/>
          <w:lang w:val="en-US" w:eastAsia="zh-CN"/>
        </w:rPr>
        <w:t>个人信息</w:t>
      </w:r>
      <w:r>
        <w:rPr>
          <w:rFonts w:hint="eastAsia" w:ascii="Times New Roman" w:hAnsi="Times New Roman" w:eastAsia="宋体" w:cs="宋体"/>
          <w:b/>
          <w:bCs/>
          <w:sz w:val="24"/>
          <w:szCs w:val="24"/>
          <w:highlight w:val="none"/>
        </w:rPr>
        <w:t>情况统计表</w:t>
      </w:r>
    </w:p>
    <w:tbl>
      <w:tblPr>
        <w:tblStyle w:val="13"/>
        <w:tblW w:w="84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73"/>
        <w:gridCol w:w="2908"/>
        <w:gridCol w:w="1264"/>
        <w:gridCol w:w="1479"/>
      </w:tblGrid>
      <w:tr w14:paraId="47C2F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84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C87E">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一、个人信息</w:t>
            </w:r>
          </w:p>
        </w:tc>
      </w:tr>
      <w:tr w14:paraId="7994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2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53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5B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40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12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4217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320D28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1.您的性别为</w:t>
            </w: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39CA0BE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A.男</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33D270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43</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7EE1C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86%</w:t>
            </w:r>
          </w:p>
        </w:tc>
      </w:tr>
      <w:tr w14:paraId="43AC0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3D5603D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4549B93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B.女</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2E4B2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7</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629D16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14%</w:t>
            </w:r>
          </w:p>
        </w:tc>
      </w:tr>
      <w:tr w14:paraId="739EC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restart"/>
            <w:tcBorders>
              <w:top w:val="single" w:color="000000" w:sz="4" w:space="0"/>
              <w:left w:val="single" w:color="000000" w:sz="4" w:space="0"/>
              <w:bottom w:val="single" w:color="000000" w:sz="4" w:space="0"/>
              <w:right w:val="single" w:color="000000" w:sz="4" w:space="0"/>
            </w:tcBorders>
            <w:noWrap/>
            <w:vAlign w:val="center"/>
          </w:tcPr>
          <w:p w14:paraId="063C3A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2.您的工作年限是</w:t>
            </w: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09B4187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A.1-2年（含两年）</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8D6098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6</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1D0316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w:t>
            </w:r>
          </w:p>
        </w:tc>
      </w:tr>
      <w:tr w14:paraId="624C4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7B3160A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49B5924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B.2-5年（含5年）</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3030BD5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22</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686983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44%</w:t>
            </w:r>
          </w:p>
        </w:tc>
      </w:tr>
      <w:tr w14:paraId="5594D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73" w:type="dxa"/>
            <w:vMerge w:val="continue"/>
            <w:tcBorders>
              <w:top w:val="single" w:color="000000" w:sz="4" w:space="0"/>
              <w:left w:val="single" w:color="000000" w:sz="4" w:space="0"/>
              <w:bottom w:val="single" w:color="000000" w:sz="4" w:space="0"/>
              <w:right w:val="single" w:color="000000" w:sz="4" w:space="0"/>
            </w:tcBorders>
            <w:noWrap/>
            <w:vAlign w:val="center"/>
          </w:tcPr>
          <w:p w14:paraId="48F1DFB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000000"/>
                <w:sz w:val="24"/>
                <w:szCs w:val="24"/>
                <w:highlight w:val="none"/>
                <w:u w:val="none"/>
              </w:rPr>
            </w:pPr>
          </w:p>
        </w:tc>
        <w:tc>
          <w:tcPr>
            <w:tcW w:w="2908" w:type="dxa"/>
            <w:tcBorders>
              <w:top w:val="single" w:color="000000" w:sz="4" w:space="0"/>
              <w:left w:val="single" w:color="000000" w:sz="4" w:space="0"/>
              <w:bottom w:val="single" w:color="000000" w:sz="4" w:space="0"/>
              <w:right w:val="single" w:color="000000" w:sz="4" w:space="0"/>
            </w:tcBorders>
            <w:noWrap/>
            <w:vAlign w:val="center"/>
          </w:tcPr>
          <w:p w14:paraId="61D2E92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C.5年以上</w:t>
            </w:r>
          </w:p>
        </w:tc>
        <w:tc>
          <w:tcPr>
            <w:tcW w:w="1264" w:type="dxa"/>
            <w:tcBorders>
              <w:top w:val="single" w:color="000000" w:sz="4" w:space="0"/>
              <w:left w:val="single" w:color="000000" w:sz="4" w:space="0"/>
              <w:bottom w:val="single" w:color="000000" w:sz="4" w:space="0"/>
              <w:right w:val="single" w:color="000000" w:sz="4" w:space="0"/>
            </w:tcBorders>
            <w:noWrap/>
            <w:vAlign w:val="center"/>
          </w:tcPr>
          <w:p w14:paraId="4BF8D0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default"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12</w:t>
            </w: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BF21A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24%</w:t>
            </w:r>
          </w:p>
        </w:tc>
      </w:tr>
    </w:tbl>
    <w:p w14:paraId="0B8A65ED">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8"/>
          <w:szCs w:val="28"/>
          <w:highlight w:val="yellow"/>
          <w:lang w:val="en-US" w:eastAsia="zh-CN"/>
        </w:rPr>
      </w:pPr>
    </w:p>
    <w:p w14:paraId="126BE38F">
      <w:pPr>
        <w:pStyle w:val="12"/>
        <w:keepNext w:val="0"/>
        <w:keepLines w:val="0"/>
        <w:pageBreakBefore w:val="0"/>
        <w:kinsoku/>
        <w:wordWrap/>
        <w:overflowPunct/>
        <w:topLinePunct w:val="0"/>
        <w:autoSpaceDE/>
        <w:autoSpaceDN/>
        <w:bidi w:val="0"/>
        <w:adjustRightInd/>
        <w:snapToGrid/>
        <w:spacing w:line="600" w:lineRule="exact"/>
        <w:ind w:left="0" w:leftChars="0" w:firstLine="0" w:firstLineChars="0"/>
        <w:outlineLvl w:val="9"/>
        <w:rPr>
          <w:rFonts w:hint="eastAsia" w:ascii="Times New Roman" w:hAnsi="Times New Roman" w:eastAsia="宋体" w:cs="宋体"/>
          <w:highlight w:val="yellow"/>
          <w:lang w:val="en-US" w:eastAsia="zh-CN"/>
        </w:rPr>
      </w:pPr>
      <w:r>
        <w:rPr>
          <w:rFonts w:hint="eastAsia" w:ascii="Times New Roman" w:hAnsi="Times New Roman" w:eastAsia="宋体" w:cs="宋体"/>
          <w:sz w:val="28"/>
          <w:szCs w:val="28"/>
          <w:highlight w:val="yellow"/>
          <w:lang w:eastAsia="zh-CN"/>
        </w:rPr>
        <w:drawing>
          <wp:anchor distT="0" distB="0" distL="114300" distR="114300" simplePos="0" relativeHeight="251661312" behindDoc="0" locked="0" layoutInCell="1" allowOverlap="1">
            <wp:simplePos x="0" y="0"/>
            <wp:positionH relativeFrom="column">
              <wp:posOffset>40005</wp:posOffset>
            </wp:positionH>
            <wp:positionV relativeFrom="paragraph">
              <wp:posOffset>107950</wp:posOffset>
            </wp:positionV>
            <wp:extent cx="5140325" cy="2346960"/>
            <wp:effectExtent l="4445" t="4445" r="8255" b="1079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8DA32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6B7800A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3A0F19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3672094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yellow"/>
          <w:lang w:val="en-US" w:eastAsia="zh-CN"/>
        </w:rPr>
      </w:pPr>
    </w:p>
    <w:p w14:paraId="4DAB114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宋体" w:cs="宋体"/>
          <w:sz w:val="28"/>
          <w:szCs w:val="28"/>
          <w:highlight w:val="yellow"/>
          <w:lang w:val="en-US" w:eastAsia="zh-CN"/>
        </w:rPr>
      </w:pPr>
    </w:p>
    <w:p w14:paraId="52E63FC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通过问卷统计，发现被调查的甘肃人大常委会2023年度省人大常委会会议费项目工作人员中，男性占大多数，工作2-5年以上占大多数。</w:t>
      </w:r>
    </w:p>
    <w:p w14:paraId="5DFCE427">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highlight w:val="none"/>
          <w:lang w:val="en-US" w:eastAsia="zh-CN"/>
        </w:rPr>
      </w:pPr>
      <w:r>
        <w:rPr>
          <w:rFonts w:hint="eastAsia" w:ascii="Times New Roman" w:hAnsi="Times New Roman" w:eastAsia="宋体" w:cs="宋体"/>
          <w:b/>
          <w:bCs/>
          <w:sz w:val="24"/>
          <w:szCs w:val="24"/>
          <w:highlight w:val="none"/>
          <w:lang w:val="en-US" w:eastAsia="zh-CN"/>
        </w:rPr>
        <w:t>表5 甘肃人大常委会2023年度省人大常委会会议费项目工作人员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基本问题</w:t>
      </w:r>
      <w:r>
        <w:rPr>
          <w:rFonts w:hint="eastAsia" w:ascii="Times New Roman" w:hAnsi="Times New Roman" w:eastAsia="宋体" w:cs="宋体"/>
          <w:b/>
          <w:bCs/>
          <w:sz w:val="24"/>
          <w:szCs w:val="24"/>
          <w:highlight w:val="none"/>
        </w:rPr>
        <w:t>情况统计表</w:t>
      </w:r>
    </w:p>
    <w:tbl>
      <w:tblPr>
        <w:tblStyle w:val="13"/>
        <w:tblW w:w="8280"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56"/>
        <w:gridCol w:w="2175"/>
        <w:gridCol w:w="1504"/>
        <w:gridCol w:w="1545"/>
      </w:tblGrid>
      <w:tr w14:paraId="16A4D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blHeader/>
        </w:trPr>
        <w:tc>
          <w:tcPr>
            <w:tcW w:w="8280" w:type="dxa"/>
            <w:gridSpan w:val="4"/>
            <w:tcBorders>
              <w:tl2br w:val="nil"/>
              <w:tr2bl w:val="nil"/>
            </w:tcBorders>
            <w:shd w:val="clear" w:color="auto" w:fill="auto"/>
            <w:noWrap/>
            <w:vAlign w:val="center"/>
          </w:tcPr>
          <w:p w14:paraId="1DCE117F">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二、基本问题</w:t>
            </w:r>
          </w:p>
        </w:tc>
      </w:tr>
      <w:tr w14:paraId="3AEE3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blHeader/>
        </w:trPr>
        <w:tc>
          <w:tcPr>
            <w:tcW w:w="3056" w:type="dxa"/>
            <w:tcBorders>
              <w:tl2br w:val="nil"/>
              <w:tr2bl w:val="nil"/>
            </w:tcBorders>
            <w:shd w:val="clear" w:color="auto" w:fill="auto"/>
            <w:noWrap/>
            <w:vAlign w:val="center"/>
          </w:tcPr>
          <w:p w14:paraId="4B9CCF5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175" w:type="dxa"/>
            <w:tcBorders>
              <w:tl2br w:val="nil"/>
              <w:tr2bl w:val="nil"/>
            </w:tcBorders>
            <w:shd w:val="clear" w:color="auto" w:fill="auto"/>
            <w:noWrap/>
            <w:vAlign w:val="center"/>
          </w:tcPr>
          <w:p w14:paraId="0C79E8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04" w:type="dxa"/>
            <w:tcBorders>
              <w:tl2br w:val="nil"/>
              <w:tr2bl w:val="nil"/>
            </w:tcBorders>
            <w:shd w:val="clear" w:color="auto" w:fill="auto"/>
            <w:noWrap/>
            <w:vAlign w:val="center"/>
          </w:tcPr>
          <w:p w14:paraId="3A35A2E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545" w:type="dxa"/>
            <w:tcBorders>
              <w:tl2br w:val="nil"/>
              <w:tr2bl w:val="nil"/>
            </w:tcBorders>
            <w:shd w:val="clear" w:color="auto" w:fill="auto"/>
            <w:noWrap/>
            <w:vAlign w:val="center"/>
          </w:tcPr>
          <w:p w14:paraId="2D8FAF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792A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3056" w:type="dxa"/>
            <w:vMerge w:val="restart"/>
            <w:tcBorders>
              <w:tl2br w:val="nil"/>
              <w:tr2bl w:val="nil"/>
            </w:tcBorders>
            <w:noWrap/>
            <w:vAlign w:val="center"/>
          </w:tcPr>
          <w:p w14:paraId="6C1521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1</w:t>
            </w:r>
            <w:r>
              <w:rPr>
                <w:rFonts w:hint="eastAsia" w:ascii="Times New Roman" w:hAnsi="Times New Roman" w:eastAsia="宋体" w:cs="宋体"/>
                <w:color w:val="000000"/>
                <w:kern w:val="0"/>
                <w:sz w:val="24"/>
                <w:szCs w:val="24"/>
                <w:highlight w:val="none"/>
                <w:lang w:val="en-US" w:eastAsia="zh-CN" w:bidi="ar"/>
              </w:rPr>
              <w:t>.您是否组织过甘肃人大常委会2023年度省人大常委会会议费项目？</w:t>
            </w:r>
          </w:p>
        </w:tc>
        <w:tc>
          <w:tcPr>
            <w:tcW w:w="2175" w:type="dxa"/>
            <w:tcBorders>
              <w:tl2br w:val="nil"/>
              <w:tr2bl w:val="nil"/>
            </w:tcBorders>
            <w:noWrap/>
            <w:vAlign w:val="center"/>
          </w:tcPr>
          <w:p w14:paraId="5A3EB03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A.是</w:t>
            </w:r>
          </w:p>
        </w:tc>
        <w:tc>
          <w:tcPr>
            <w:tcW w:w="1504" w:type="dxa"/>
            <w:tcBorders>
              <w:tl2br w:val="nil"/>
              <w:tr2bl w:val="nil"/>
            </w:tcBorders>
            <w:noWrap/>
            <w:vAlign w:val="center"/>
          </w:tcPr>
          <w:p w14:paraId="23A1A579">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545" w:type="dxa"/>
            <w:tcBorders>
              <w:tl2br w:val="nil"/>
              <w:tr2bl w:val="nil"/>
            </w:tcBorders>
            <w:noWrap/>
            <w:vAlign w:val="center"/>
          </w:tcPr>
          <w:p w14:paraId="3279849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7E0E5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787FD03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1BAE6C9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B.否</w:t>
            </w:r>
          </w:p>
        </w:tc>
        <w:tc>
          <w:tcPr>
            <w:tcW w:w="1504" w:type="dxa"/>
            <w:tcBorders>
              <w:tl2br w:val="nil"/>
              <w:tr2bl w:val="nil"/>
            </w:tcBorders>
            <w:noWrap/>
            <w:vAlign w:val="center"/>
          </w:tcPr>
          <w:p w14:paraId="53D7E887">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545" w:type="dxa"/>
            <w:tcBorders>
              <w:tl2br w:val="nil"/>
              <w:tr2bl w:val="nil"/>
            </w:tcBorders>
            <w:noWrap/>
            <w:vAlign w:val="center"/>
          </w:tcPr>
          <w:p w14:paraId="15A6D01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12.00%</w:t>
            </w:r>
          </w:p>
        </w:tc>
      </w:tr>
      <w:tr w14:paraId="759F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restart"/>
            <w:tcBorders>
              <w:tl2br w:val="nil"/>
              <w:tr2bl w:val="nil"/>
            </w:tcBorders>
            <w:noWrap/>
            <w:vAlign w:val="center"/>
          </w:tcPr>
          <w:p w14:paraId="3C0C52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w:t>
            </w:r>
            <w:r>
              <w:rPr>
                <w:rFonts w:hint="eastAsia" w:ascii="Times New Roman" w:hAnsi="Times New Roman" w:eastAsia="宋体" w:cs="宋体"/>
                <w:color w:val="000000"/>
                <w:kern w:val="0"/>
                <w:sz w:val="24"/>
                <w:szCs w:val="24"/>
                <w:highlight w:val="none"/>
                <w:lang w:val="en-US" w:eastAsia="zh-CN" w:bidi="ar"/>
              </w:rPr>
              <w:t>您是否清楚了解到甘肃人大常委会2023年度省人大常委会会议费项目？</w:t>
            </w:r>
          </w:p>
        </w:tc>
        <w:tc>
          <w:tcPr>
            <w:tcW w:w="2175" w:type="dxa"/>
            <w:tcBorders>
              <w:tl2br w:val="nil"/>
              <w:tr2bl w:val="nil"/>
            </w:tcBorders>
            <w:noWrap/>
            <w:vAlign w:val="center"/>
          </w:tcPr>
          <w:p w14:paraId="0BD7485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A.非常清楚</w:t>
            </w:r>
          </w:p>
        </w:tc>
        <w:tc>
          <w:tcPr>
            <w:tcW w:w="1504" w:type="dxa"/>
            <w:tcBorders>
              <w:tl2br w:val="nil"/>
              <w:tr2bl w:val="nil"/>
            </w:tcBorders>
            <w:noWrap/>
            <w:vAlign w:val="center"/>
          </w:tcPr>
          <w:p w14:paraId="25525638">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545" w:type="dxa"/>
            <w:tcBorders>
              <w:tl2br w:val="nil"/>
              <w:tr2bl w:val="nil"/>
            </w:tcBorders>
            <w:noWrap/>
            <w:vAlign w:val="center"/>
          </w:tcPr>
          <w:p w14:paraId="61153DE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86.00%</w:t>
            </w:r>
          </w:p>
        </w:tc>
      </w:tr>
      <w:tr w14:paraId="5FEF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3E1A9EF2">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0ACDEAF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04" w:type="dxa"/>
            <w:tcBorders>
              <w:tl2br w:val="nil"/>
              <w:tr2bl w:val="nil"/>
            </w:tcBorders>
            <w:noWrap/>
            <w:vAlign w:val="center"/>
          </w:tcPr>
          <w:p w14:paraId="465FBB0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545" w:type="dxa"/>
            <w:tcBorders>
              <w:tl2br w:val="nil"/>
              <w:tr2bl w:val="nil"/>
            </w:tcBorders>
            <w:noWrap/>
            <w:vAlign w:val="center"/>
          </w:tcPr>
          <w:p w14:paraId="418ED7E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6B760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5AB5AC5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1B24856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C.清楚</w:t>
            </w:r>
          </w:p>
        </w:tc>
        <w:tc>
          <w:tcPr>
            <w:tcW w:w="1504" w:type="dxa"/>
            <w:tcBorders>
              <w:tl2br w:val="nil"/>
              <w:tr2bl w:val="nil"/>
            </w:tcBorders>
            <w:noWrap/>
            <w:vAlign w:val="center"/>
          </w:tcPr>
          <w:p w14:paraId="468617E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45" w:type="dxa"/>
            <w:tcBorders>
              <w:tl2br w:val="nil"/>
              <w:tr2bl w:val="nil"/>
            </w:tcBorders>
            <w:noWrap/>
            <w:vAlign w:val="center"/>
          </w:tcPr>
          <w:p w14:paraId="2A7CBEB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3D6F5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0DF73C7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4A8D411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D.不清楚</w:t>
            </w:r>
          </w:p>
        </w:tc>
        <w:tc>
          <w:tcPr>
            <w:tcW w:w="1504" w:type="dxa"/>
            <w:tcBorders>
              <w:tl2br w:val="nil"/>
              <w:tr2bl w:val="nil"/>
            </w:tcBorders>
            <w:noWrap/>
            <w:vAlign w:val="center"/>
          </w:tcPr>
          <w:p w14:paraId="56D2407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45" w:type="dxa"/>
            <w:tcBorders>
              <w:tl2br w:val="nil"/>
              <w:tr2bl w:val="nil"/>
            </w:tcBorders>
            <w:noWrap/>
            <w:vAlign w:val="center"/>
          </w:tcPr>
          <w:p w14:paraId="1B8DA76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5F0B4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restart"/>
            <w:tcBorders>
              <w:tl2br w:val="nil"/>
              <w:tr2bl w:val="nil"/>
            </w:tcBorders>
            <w:noWrap/>
            <w:vAlign w:val="center"/>
          </w:tcPr>
          <w:p w14:paraId="3BC304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3.您认为甘肃人大常委会2023年度省人大常委会会议费项目的工作效果如何？</w:t>
            </w:r>
          </w:p>
        </w:tc>
        <w:tc>
          <w:tcPr>
            <w:tcW w:w="2175" w:type="dxa"/>
            <w:tcBorders>
              <w:tl2br w:val="nil"/>
              <w:tr2bl w:val="nil"/>
            </w:tcBorders>
            <w:noWrap/>
            <w:vAlign w:val="center"/>
          </w:tcPr>
          <w:p w14:paraId="73E4D2A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A.效果显著</w:t>
            </w:r>
          </w:p>
        </w:tc>
        <w:tc>
          <w:tcPr>
            <w:tcW w:w="1504" w:type="dxa"/>
            <w:tcBorders>
              <w:tl2br w:val="nil"/>
              <w:tr2bl w:val="nil"/>
            </w:tcBorders>
            <w:noWrap/>
            <w:vAlign w:val="center"/>
          </w:tcPr>
          <w:p w14:paraId="50A1F65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545" w:type="dxa"/>
            <w:tcBorders>
              <w:tl2br w:val="nil"/>
              <w:tr2bl w:val="nil"/>
            </w:tcBorders>
            <w:noWrap/>
            <w:vAlign w:val="center"/>
          </w:tcPr>
          <w:p w14:paraId="7D718AB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72.00%</w:t>
            </w:r>
          </w:p>
        </w:tc>
      </w:tr>
      <w:tr w14:paraId="413AF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15D7D5F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7B0D387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B.效果良好</w:t>
            </w:r>
          </w:p>
        </w:tc>
        <w:tc>
          <w:tcPr>
            <w:tcW w:w="1504" w:type="dxa"/>
            <w:tcBorders>
              <w:tl2br w:val="nil"/>
              <w:tr2bl w:val="nil"/>
            </w:tcBorders>
            <w:noWrap/>
            <w:vAlign w:val="center"/>
          </w:tcPr>
          <w:p w14:paraId="3A3F198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545" w:type="dxa"/>
            <w:tcBorders>
              <w:tl2br w:val="nil"/>
              <w:tr2bl w:val="nil"/>
            </w:tcBorders>
            <w:noWrap/>
            <w:vAlign w:val="center"/>
          </w:tcPr>
          <w:p w14:paraId="0A715F1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24.00%</w:t>
            </w:r>
          </w:p>
        </w:tc>
      </w:tr>
      <w:tr w14:paraId="7D8F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6F722DF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117B2D3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C.一般</w:t>
            </w:r>
          </w:p>
        </w:tc>
        <w:tc>
          <w:tcPr>
            <w:tcW w:w="1504" w:type="dxa"/>
            <w:tcBorders>
              <w:tl2br w:val="nil"/>
              <w:tr2bl w:val="nil"/>
            </w:tcBorders>
            <w:noWrap/>
            <w:vAlign w:val="center"/>
          </w:tcPr>
          <w:p w14:paraId="78BD93C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545" w:type="dxa"/>
            <w:tcBorders>
              <w:tl2br w:val="nil"/>
              <w:tr2bl w:val="nil"/>
            </w:tcBorders>
            <w:noWrap/>
            <w:vAlign w:val="center"/>
          </w:tcPr>
          <w:p w14:paraId="0618EF2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4.00%</w:t>
            </w:r>
          </w:p>
        </w:tc>
      </w:tr>
      <w:tr w14:paraId="5B941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2FFF8A58">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2A41391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D.无效果</w:t>
            </w:r>
          </w:p>
        </w:tc>
        <w:tc>
          <w:tcPr>
            <w:tcW w:w="1504" w:type="dxa"/>
            <w:tcBorders>
              <w:tl2br w:val="nil"/>
              <w:tr2bl w:val="nil"/>
            </w:tcBorders>
            <w:noWrap/>
            <w:vAlign w:val="center"/>
          </w:tcPr>
          <w:p w14:paraId="02F4A35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45" w:type="dxa"/>
            <w:tcBorders>
              <w:tl2br w:val="nil"/>
              <w:tr2bl w:val="nil"/>
            </w:tcBorders>
            <w:noWrap/>
            <w:vAlign w:val="center"/>
          </w:tcPr>
          <w:p w14:paraId="7F2B726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05FC3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restart"/>
            <w:tcBorders>
              <w:tl2br w:val="nil"/>
              <w:tr2bl w:val="nil"/>
            </w:tcBorders>
            <w:noWrap/>
            <w:vAlign w:val="center"/>
          </w:tcPr>
          <w:p w14:paraId="44DEA47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4.您是否清楚甘肃人大常委会2023年度省人大常委会会议费项目的进度？</w:t>
            </w:r>
          </w:p>
        </w:tc>
        <w:tc>
          <w:tcPr>
            <w:tcW w:w="2175" w:type="dxa"/>
            <w:tcBorders>
              <w:tl2br w:val="nil"/>
              <w:tr2bl w:val="nil"/>
            </w:tcBorders>
            <w:noWrap/>
            <w:vAlign w:val="center"/>
          </w:tcPr>
          <w:p w14:paraId="6955E2E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A.非常清楚</w:t>
            </w:r>
          </w:p>
        </w:tc>
        <w:tc>
          <w:tcPr>
            <w:tcW w:w="1504" w:type="dxa"/>
            <w:tcBorders>
              <w:tl2br w:val="nil"/>
              <w:tr2bl w:val="nil"/>
            </w:tcBorders>
            <w:noWrap/>
            <w:vAlign w:val="center"/>
          </w:tcPr>
          <w:p w14:paraId="0B4FAD7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545" w:type="dxa"/>
            <w:tcBorders>
              <w:tl2br w:val="nil"/>
              <w:tr2bl w:val="nil"/>
            </w:tcBorders>
            <w:noWrap/>
            <w:vAlign w:val="center"/>
          </w:tcPr>
          <w:p w14:paraId="42B2B18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6C26F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218D30A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793C555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04" w:type="dxa"/>
            <w:tcBorders>
              <w:tl2br w:val="nil"/>
              <w:tr2bl w:val="nil"/>
            </w:tcBorders>
            <w:noWrap/>
            <w:vAlign w:val="center"/>
          </w:tcPr>
          <w:p w14:paraId="2817CF79">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545" w:type="dxa"/>
            <w:tcBorders>
              <w:tl2br w:val="nil"/>
              <w:tr2bl w:val="nil"/>
            </w:tcBorders>
            <w:noWrap/>
            <w:vAlign w:val="center"/>
          </w:tcPr>
          <w:p w14:paraId="5DDA4C5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4DC64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5E52760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65CE0B0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04" w:type="dxa"/>
            <w:tcBorders>
              <w:tl2br w:val="nil"/>
              <w:tr2bl w:val="nil"/>
            </w:tcBorders>
            <w:noWrap/>
            <w:vAlign w:val="center"/>
          </w:tcPr>
          <w:p w14:paraId="56CF8615">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45" w:type="dxa"/>
            <w:tcBorders>
              <w:tl2br w:val="nil"/>
              <w:tr2bl w:val="nil"/>
            </w:tcBorders>
            <w:noWrap/>
            <w:vAlign w:val="center"/>
          </w:tcPr>
          <w:p w14:paraId="7E9BDC8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76B9F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791135C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1DB8B82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D.不清楚</w:t>
            </w:r>
          </w:p>
        </w:tc>
        <w:tc>
          <w:tcPr>
            <w:tcW w:w="1504" w:type="dxa"/>
            <w:tcBorders>
              <w:tl2br w:val="nil"/>
              <w:tr2bl w:val="nil"/>
            </w:tcBorders>
            <w:noWrap/>
            <w:vAlign w:val="center"/>
          </w:tcPr>
          <w:p w14:paraId="76B36442">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45" w:type="dxa"/>
            <w:tcBorders>
              <w:tl2br w:val="nil"/>
              <w:tr2bl w:val="nil"/>
            </w:tcBorders>
            <w:noWrap/>
            <w:vAlign w:val="center"/>
          </w:tcPr>
          <w:p w14:paraId="6F07D97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7F60B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restart"/>
            <w:tcBorders>
              <w:tl2br w:val="nil"/>
              <w:tr2bl w:val="nil"/>
            </w:tcBorders>
            <w:noWrap/>
            <w:vAlign w:val="center"/>
          </w:tcPr>
          <w:p w14:paraId="0E71AC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5.您对目前自己的工作职责内容是否清楚？</w:t>
            </w:r>
          </w:p>
        </w:tc>
        <w:tc>
          <w:tcPr>
            <w:tcW w:w="2175" w:type="dxa"/>
            <w:tcBorders>
              <w:tl2br w:val="nil"/>
              <w:tr2bl w:val="nil"/>
            </w:tcBorders>
            <w:noWrap/>
            <w:vAlign w:val="center"/>
          </w:tcPr>
          <w:p w14:paraId="72C57FB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A.非常清楚</w:t>
            </w:r>
          </w:p>
        </w:tc>
        <w:tc>
          <w:tcPr>
            <w:tcW w:w="1504" w:type="dxa"/>
            <w:tcBorders>
              <w:tl2br w:val="nil"/>
              <w:tr2bl w:val="nil"/>
            </w:tcBorders>
            <w:noWrap/>
            <w:vAlign w:val="center"/>
          </w:tcPr>
          <w:p w14:paraId="472156D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545" w:type="dxa"/>
            <w:tcBorders>
              <w:tl2br w:val="nil"/>
              <w:tr2bl w:val="nil"/>
            </w:tcBorders>
            <w:noWrap/>
            <w:vAlign w:val="center"/>
          </w:tcPr>
          <w:p w14:paraId="170ECA9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0963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1E248CD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28480F7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B.比较清楚</w:t>
            </w:r>
          </w:p>
        </w:tc>
        <w:tc>
          <w:tcPr>
            <w:tcW w:w="1504" w:type="dxa"/>
            <w:tcBorders>
              <w:tl2br w:val="nil"/>
              <w:tr2bl w:val="nil"/>
            </w:tcBorders>
            <w:noWrap/>
            <w:vAlign w:val="center"/>
          </w:tcPr>
          <w:p w14:paraId="04B85C3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545" w:type="dxa"/>
            <w:tcBorders>
              <w:tl2br w:val="nil"/>
              <w:tr2bl w:val="nil"/>
            </w:tcBorders>
            <w:noWrap/>
            <w:vAlign w:val="center"/>
          </w:tcPr>
          <w:p w14:paraId="3C7D2A1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2370C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0344B8A7">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08431C5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04" w:type="dxa"/>
            <w:tcBorders>
              <w:tl2br w:val="nil"/>
              <w:tr2bl w:val="nil"/>
            </w:tcBorders>
            <w:noWrap/>
            <w:vAlign w:val="center"/>
          </w:tcPr>
          <w:p w14:paraId="0EF89B1B">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45" w:type="dxa"/>
            <w:tcBorders>
              <w:tl2br w:val="nil"/>
              <w:tr2bl w:val="nil"/>
            </w:tcBorders>
            <w:noWrap/>
            <w:vAlign w:val="center"/>
          </w:tcPr>
          <w:p w14:paraId="4840914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79EDC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4AC0547B">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0779DBB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D.不清楚</w:t>
            </w:r>
          </w:p>
        </w:tc>
        <w:tc>
          <w:tcPr>
            <w:tcW w:w="1504" w:type="dxa"/>
            <w:tcBorders>
              <w:tl2br w:val="nil"/>
              <w:tr2bl w:val="nil"/>
            </w:tcBorders>
            <w:noWrap/>
            <w:vAlign w:val="center"/>
          </w:tcPr>
          <w:p w14:paraId="0A13F86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45" w:type="dxa"/>
            <w:tcBorders>
              <w:tl2br w:val="nil"/>
              <w:tr2bl w:val="nil"/>
            </w:tcBorders>
            <w:noWrap/>
            <w:vAlign w:val="center"/>
          </w:tcPr>
          <w:p w14:paraId="0E54361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7056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restart"/>
            <w:tcBorders>
              <w:tl2br w:val="nil"/>
              <w:tr2bl w:val="nil"/>
            </w:tcBorders>
            <w:noWrap/>
            <w:vAlign w:val="center"/>
          </w:tcPr>
          <w:p w14:paraId="2F56740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left"/>
              <w:textAlignment w:val="center"/>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6.您认为目前本项目的相关规章制度是否健全？</w:t>
            </w:r>
          </w:p>
        </w:tc>
        <w:tc>
          <w:tcPr>
            <w:tcW w:w="2175" w:type="dxa"/>
            <w:tcBorders>
              <w:tl2br w:val="nil"/>
              <w:tr2bl w:val="nil"/>
            </w:tcBorders>
            <w:noWrap/>
            <w:vAlign w:val="center"/>
          </w:tcPr>
          <w:p w14:paraId="39A3A63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A.非常健全</w:t>
            </w:r>
          </w:p>
        </w:tc>
        <w:tc>
          <w:tcPr>
            <w:tcW w:w="1504" w:type="dxa"/>
            <w:tcBorders>
              <w:tl2br w:val="nil"/>
              <w:tr2bl w:val="nil"/>
            </w:tcBorders>
            <w:noWrap/>
            <w:vAlign w:val="center"/>
          </w:tcPr>
          <w:p w14:paraId="22AAE63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545" w:type="dxa"/>
            <w:tcBorders>
              <w:tl2br w:val="nil"/>
              <w:tr2bl w:val="nil"/>
            </w:tcBorders>
            <w:noWrap/>
            <w:vAlign w:val="center"/>
          </w:tcPr>
          <w:p w14:paraId="6F6E745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82.00%</w:t>
            </w:r>
          </w:p>
        </w:tc>
      </w:tr>
      <w:tr w14:paraId="3EBDD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16B1E29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240AB77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B.比较健全</w:t>
            </w:r>
          </w:p>
        </w:tc>
        <w:tc>
          <w:tcPr>
            <w:tcW w:w="1504" w:type="dxa"/>
            <w:tcBorders>
              <w:tl2br w:val="nil"/>
              <w:tr2bl w:val="nil"/>
            </w:tcBorders>
            <w:noWrap/>
            <w:vAlign w:val="center"/>
          </w:tcPr>
          <w:p w14:paraId="74B0F52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545" w:type="dxa"/>
            <w:tcBorders>
              <w:tl2br w:val="nil"/>
              <w:tr2bl w:val="nil"/>
            </w:tcBorders>
            <w:noWrap/>
            <w:vAlign w:val="center"/>
          </w:tcPr>
          <w:p w14:paraId="08B38D0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8.00%</w:t>
            </w:r>
          </w:p>
        </w:tc>
      </w:tr>
      <w:tr w14:paraId="22806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7DD966B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045FBC2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C.一般</w:t>
            </w:r>
          </w:p>
        </w:tc>
        <w:tc>
          <w:tcPr>
            <w:tcW w:w="1504" w:type="dxa"/>
            <w:tcBorders>
              <w:tl2br w:val="nil"/>
              <w:tr2bl w:val="nil"/>
            </w:tcBorders>
            <w:noWrap/>
            <w:vAlign w:val="center"/>
          </w:tcPr>
          <w:p w14:paraId="1BA5B03A">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545" w:type="dxa"/>
            <w:tcBorders>
              <w:tl2br w:val="nil"/>
              <w:tr2bl w:val="nil"/>
            </w:tcBorders>
            <w:noWrap/>
            <w:vAlign w:val="center"/>
          </w:tcPr>
          <w:p w14:paraId="6A720132">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8.00%</w:t>
            </w:r>
          </w:p>
        </w:tc>
      </w:tr>
      <w:tr w14:paraId="158D2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37D020F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530BA53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lang w:val="en-US"/>
              </w:rPr>
            </w:pPr>
            <w:r>
              <w:rPr>
                <w:rFonts w:hint="eastAsia" w:ascii="Times New Roman" w:hAnsi="Times New Roman" w:eastAsia="宋体" w:cs="宋体"/>
                <w:color w:val="000000"/>
                <w:kern w:val="0"/>
                <w:sz w:val="24"/>
                <w:szCs w:val="24"/>
                <w:highlight w:val="none"/>
                <w:lang w:val="en-US" w:eastAsia="zh-CN" w:bidi="ar"/>
              </w:rPr>
              <w:t>D.不健全</w:t>
            </w:r>
          </w:p>
        </w:tc>
        <w:tc>
          <w:tcPr>
            <w:tcW w:w="1504" w:type="dxa"/>
            <w:tcBorders>
              <w:tl2br w:val="nil"/>
              <w:tr2bl w:val="nil"/>
            </w:tcBorders>
            <w:noWrap/>
            <w:vAlign w:val="center"/>
          </w:tcPr>
          <w:p w14:paraId="6CCE091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45" w:type="dxa"/>
            <w:tcBorders>
              <w:tl2br w:val="nil"/>
              <w:tr2bl w:val="nil"/>
            </w:tcBorders>
            <w:noWrap/>
            <w:vAlign w:val="center"/>
          </w:tcPr>
          <w:p w14:paraId="516402D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5BAB9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restart"/>
            <w:tcBorders>
              <w:tl2br w:val="nil"/>
              <w:tr2bl w:val="nil"/>
            </w:tcBorders>
            <w:noWrap/>
            <w:vAlign w:val="center"/>
          </w:tcPr>
          <w:p w14:paraId="75AEA355">
            <w:pPr>
              <w:keepNext w:val="0"/>
              <w:keepLines w:val="0"/>
              <w:pageBreakBefore w:val="0"/>
              <w:kinsoku/>
              <w:wordWrap/>
              <w:overflowPunct/>
              <w:topLinePunct w:val="0"/>
              <w:autoSpaceDE/>
              <w:autoSpaceDN/>
              <w:bidi w:val="0"/>
              <w:adjustRightInd/>
              <w:snapToGrid/>
              <w:spacing w:line="240" w:lineRule="auto"/>
              <w:jc w:val="left"/>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7.您所在部门日常工作管理制度是否完备？</w:t>
            </w:r>
          </w:p>
        </w:tc>
        <w:tc>
          <w:tcPr>
            <w:tcW w:w="2175" w:type="dxa"/>
            <w:tcBorders>
              <w:tl2br w:val="nil"/>
              <w:tr2bl w:val="nil"/>
            </w:tcBorders>
            <w:noWrap/>
            <w:vAlign w:val="center"/>
          </w:tcPr>
          <w:p w14:paraId="5959D5E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A.非常完备</w:t>
            </w:r>
          </w:p>
        </w:tc>
        <w:tc>
          <w:tcPr>
            <w:tcW w:w="1504" w:type="dxa"/>
            <w:tcBorders>
              <w:tl2br w:val="nil"/>
              <w:tr2bl w:val="nil"/>
            </w:tcBorders>
            <w:noWrap/>
            <w:vAlign w:val="center"/>
          </w:tcPr>
          <w:p w14:paraId="4BB5891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545" w:type="dxa"/>
            <w:tcBorders>
              <w:tl2br w:val="nil"/>
              <w:tr2bl w:val="nil"/>
            </w:tcBorders>
            <w:noWrap/>
            <w:vAlign w:val="center"/>
          </w:tcPr>
          <w:p w14:paraId="7A12B3E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96.00%</w:t>
            </w:r>
          </w:p>
        </w:tc>
      </w:tr>
      <w:tr w14:paraId="740F9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3800D04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46E7810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B.比较完备</w:t>
            </w:r>
          </w:p>
        </w:tc>
        <w:tc>
          <w:tcPr>
            <w:tcW w:w="1504" w:type="dxa"/>
            <w:tcBorders>
              <w:tl2br w:val="nil"/>
              <w:tr2bl w:val="nil"/>
            </w:tcBorders>
            <w:noWrap/>
            <w:vAlign w:val="center"/>
          </w:tcPr>
          <w:p w14:paraId="28634074">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45" w:type="dxa"/>
            <w:tcBorders>
              <w:tl2br w:val="nil"/>
              <w:tr2bl w:val="nil"/>
            </w:tcBorders>
            <w:noWrap/>
            <w:vAlign w:val="center"/>
          </w:tcPr>
          <w:p w14:paraId="550A8F3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6FC0A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6910FBE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778B06E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504" w:type="dxa"/>
            <w:tcBorders>
              <w:tl2br w:val="nil"/>
              <w:tr2bl w:val="nil"/>
            </w:tcBorders>
            <w:noWrap/>
            <w:vAlign w:val="center"/>
          </w:tcPr>
          <w:p w14:paraId="3BF9096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545" w:type="dxa"/>
            <w:tcBorders>
              <w:tl2br w:val="nil"/>
              <w:tr2bl w:val="nil"/>
            </w:tcBorders>
            <w:noWrap/>
            <w:vAlign w:val="center"/>
          </w:tcPr>
          <w:p w14:paraId="74DFE41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4.00%</w:t>
            </w:r>
          </w:p>
        </w:tc>
      </w:tr>
      <w:tr w14:paraId="5C069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0E762BE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5B164A4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D.不完备</w:t>
            </w:r>
          </w:p>
        </w:tc>
        <w:tc>
          <w:tcPr>
            <w:tcW w:w="1504" w:type="dxa"/>
            <w:tcBorders>
              <w:tl2br w:val="nil"/>
              <w:tr2bl w:val="nil"/>
            </w:tcBorders>
            <w:noWrap/>
            <w:vAlign w:val="center"/>
          </w:tcPr>
          <w:p w14:paraId="7659FE6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45" w:type="dxa"/>
            <w:tcBorders>
              <w:tl2br w:val="nil"/>
              <w:tr2bl w:val="nil"/>
            </w:tcBorders>
            <w:noWrap/>
            <w:vAlign w:val="center"/>
          </w:tcPr>
          <w:p w14:paraId="59A84D8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1023C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restart"/>
            <w:tcBorders>
              <w:tl2br w:val="nil"/>
              <w:tr2bl w:val="nil"/>
            </w:tcBorders>
            <w:noWrap/>
            <w:vAlign w:val="center"/>
          </w:tcPr>
          <w:p w14:paraId="37DA29DC">
            <w:pPr>
              <w:keepNext w:val="0"/>
              <w:keepLines w:val="0"/>
              <w:pageBreakBefore w:val="0"/>
              <w:kinsoku/>
              <w:wordWrap/>
              <w:overflowPunct/>
              <w:topLinePunct w:val="0"/>
              <w:autoSpaceDE/>
              <w:autoSpaceDN/>
              <w:bidi w:val="0"/>
              <w:adjustRightInd/>
              <w:snapToGrid/>
              <w:spacing w:line="240" w:lineRule="auto"/>
              <w:jc w:val="left"/>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color w:val="000000"/>
                <w:kern w:val="0"/>
                <w:sz w:val="24"/>
                <w:szCs w:val="24"/>
                <w:highlight w:val="none"/>
                <w:lang w:val="en-US" w:eastAsia="zh-CN" w:bidi="ar"/>
              </w:rPr>
              <w:t>8.您下次是否愿意积极配合项目实施？</w:t>
            </w:r>
          </w:p>
        </w:tc>
        <w:tc>
          <w:tcPr>
            <w:tcW w:w="2175" w:type="dxa"/>
            <w:tcBorders>
              <w:tl2br w:val="nil"/>
              <w:tr2bl w:val="nil"/>
            </w:tcBorders>
            <w:noWrap/>
            <w:vAlign w:val="center"/>
          </w:tcPr>
          <w:p w14:paraId="4554C6B1">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2"/>
                <w:sz w:val="24"/>
                <w:szCs w:val="24"/>
                <w:highlight w:val="none"/>
                <w:u w:val="none"/>
                <w:lang w:val="en-US" w:eastAsia="zh-CN" w:bidi="ar-SA"/>
              </w:rPr>
            </w:pPr>
            <w:r>
              <w:rPr>
                <w:rFonts w:hint="eastAsia" w:ascii="Times New Roman" w:hAnsi="Times New Roman" w:eastAsia="宋体" w:cs="宋体"/>
                <w:color w:val="000000"/>
                <w:kern w:val="0"/>
                <w:sz w:val="24"/>
                <w:szCs w:val="24"/>
                <w:highlight w:val="none"/>
                <w:lang w:val="en-US" w:eastAsia="zh-CN" w:bidi="ar"/>
              </w:rPr>
              <w:t>A.非常愿意</w:t>
            </w:r>
          </w:p>
        </w:tc>
        <w:tc>
          <w:tcPr>
            <w:tcW w:w="1504" w:type="dxa"/>
            <w:tcBorders>
              <w:tl2br w:val="nil"/>
              <w:tr2bl w:val="nil"/>
            </w:tcBorders>
            <w:noWrap/>
            <w:vAlign w:val="center"/>
          </w:tcPr>
          <w:p w14:paraId="17CD9154">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545" w:type="dxa"/>
            <w:tcBorders>
              <w:tl2br w:val="nil"/>
              <w:tr2bl w:val="nil"/>
            </w:tcBorders>
            <w:noWrap/>
            <w:vAlign w:val="center"/>
          </w:tcPr>
          <w:p w14:paraId="25347FB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96.00%</w:t>
            </w:r>
          </w:p>
        </w:tc>
      </w:tr>
      <w:tr w14:paraId="16C48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2C7BD8EC">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0D7EE3A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2"/>
                <w:sz w:val="24"/>
                <w:szCs w:val="24"/>
                <w:highlight w:val="none"/>
                <w:u w:val="none"/>
                <w:lang w:val="en-US" w:eastAsia="zh-CN" w:bidi="ar-SA"/>
              </w:rPr>
            </w:pPr>
            <w:r>
              <w:rPr>
                <w:rFonts w:hint="eastAsia" w:ascii="Times New Roman" w:hAnsi="Times New Roman" w:eastAsia="宋体" w:cs="宋体"/>
                <w:color w:val="000000"/>
                <w:kern w:val="0"/>
                <w:sz w:val="24"/>
                <w:szCs w:val="24"/>
                <w:highlight w:val="none"/>
                <w:lang w:val="en-US" w:eastAsia="zh-CN" w:bidi="ar"/>
              </w:rPr>
              <w:t>B.比较愿意</w:t>
            </w:r>
          </w:p>
        </w:tc>
        <w:tc>
          <w:tcPr>
            <w:tcW w:w="1504" w:type="dxa"/>
            <w:tcBorders>
              <w:tl2br w:val="nil"/>
              <w:tr2bl w:val="nil"/>
            </w:tcBorders>
            <w:noWrap/>
            <w:vAlign w:val="center"/>
          </w:tcPr>
          <w:p w14:paraId="167BC028">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45" w:type="dxa"/>
            <w:tcBorders>
              <w:tl2br w:val="nil"/>
              <w:tr2bl w:val="nil"/>
            </w:tcBorders>
            <w:noWrap/>
            <w:vAlign w:val="center"/>
          </w:tcPr>
          <w:p w14:paraId="53C6242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22C5C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3056" w:type="dxa"/>
            <w:vMerge w:val="continue"/>
            <w:tcBorders>
              <w:tl2br w:val="nil"/>
              <w:tr2bl w:val="nil"/>
            </w:tcBorders>
            <w:noWrap/>
            <w:vAlign w:val="center"/>
          </w:tcPr>
          <w:p w14:paraId="0A99553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2E82869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C.一般</w:t>
            </w:r>
          </w:p>
        </w:tc>
        <w:tc>
          <w:tcPr>
            <w:tcW w:w="1504" w:type="dxa"/>
            <w:tcBorders>
              <w:tl2br w:val="nil"/>
              <w:tr2bl w:val="nil"/>
            </w:tcBorders>
            <w:noWrap/>
            <w:vAlign w:val="center"/>
          </w:tcPr>
          <w:p w14:paraId="5B94EF49">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545" w:type="dxa"/>
            <w:tcBorders>
              <w:tl2br w:val="nil"/>
              <w:tr2bl w:val="nil"/>
            </w:tcBorders>
            <w:noWrap/>
            <w:vAlign w:val="center"/>
          </w:tcPr>
          <w:p w14:paraId="54DCFFB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254AF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trPr>
        <w:tc>
          <w:tcPr>
            <w:tcW w:w="3056" w:type="dxa"/>
            <w:vMerge w:val="continue"/>
            <w:tcBorders>
              <w:tl2br w:val="nil"/>
              <w:tr2bl w:val="nil"/>
            </w:tcBorders>
            <w:noWrap/>
            <w:vAlign w:val="center"/>
          </w:tcPr>
          <w:p w14:paraId="2BFF9FC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175" w:type="dxa"/>
            <w:tcBorders>
              <w:tl2br w:val="nil"/>
              <w:tr2bl w:val="nil"/>
            </w:tcBorders>
            <w:noWrap/>
            <w:vAlign w:val="center"/>
          </w:tcPr>
          <w:p w14:paraId="3B1D409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color w:val="000000"/>
                <w:kern w:val="0"/>
                <w:sz w:val="24"/>
                <w:szCs w:val="24"/>
                <w:highlight w:val="none"/>
                <w:lang w:val="en-US" w:eastAsia="zh-CN" w:bidi="ar"/>
              </w:rPr>
              <w:t>D.不愿意</w:t>
            </w:r>
          </w:p>
        </w:tc>
        <w:tc>
          <w:tcPr>
            <w:tcW w:w="1504" w:type="dxa"/>
            <w:tcBorders>
              <w:tl2br w:val="nil"/>
              <w:tr2bl w:val="nil"/>
            </w:tcBorders>
            <w:noWrap/>
            <w:vAlign w:val="center"/>
          </w:tcPr>
          <w:p w14:paraId="7C2F1FA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545" w:type="dxa"/>
            <w:tcBorders>
              <w:tl2br w:val="nil"/>
              <w:tr2bl w:val="nil"/>
            </w:tcBorders>
            <w:noWrap/>
            <w:vAlign w:val="center"/>
          </w:tcPr>
          <w:p w14:paraId="5541724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bl>
    <w:p w14:paraId="5BC5A8BA">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问卷调查结果显示，在被调查的甘肃人大常委会2023年度省人大常委会会议费项目工作人员中</w:t>
      </w:r>
      <w:r>
        <w:rPr>
          <w:rFonts w:hint="eastAsia" w:ascii="Times New Roman" w:hAnsi="Times New Roman" w:eastAsia="宋体" w:cs="宋体"/>
          <w:i w:val="0"/>
          <w:iCs w:val="0"/>
          <w:color w:val="262626"/>
          <w:kern w:val="0"/>
          <w:sz w:val="28"/>
          <w:szCs w:val="28"/>
          <w:highlight w:val="none"/>
          <w:u w:val="none"/>
          <w:lang w:val="en-US" w:eastAsia="zh-CN" w:bidi="ar"/>
        </w:rPr>
        <w:t>组织过政策宣传活动</w:t>
      </w:r>
      <w:r>
        <w:rPr>
          <w:rFonts w:hint="eastAsia" w:ascii="Times New Roman" w:hAnsi="Times New Roman" w:eastAsia="宋体" w:cs="宋体"/>
          <w:sz w:val="28"/>
          <w:szCs w:val="28"/>
          <w:highlight w:val="none"/>
          <w:lang w:val="en-US" w:eastAsia="zh-CN"/>
        </w:rPr>
        <w:t>的占据88%，没有组织过的的占据12%；在被调查的甘肃人大常委会2023年度省人大常委会会议费项目工作人员中非常</w:t>
      </w:r>
      <w:r>
        <w:rPr>
          <w:rFonts w:hint="eastAsia" w:ascii="Times New Roman" w:hAnsi="Times New Roman" w:eastAsia="宋体" w:cs="宋体"/>
          <w:color w:val="000000"/>
          <w:kern w:val="0"/>
          <w:sz w:val="28"/>
          <w:szCs w:val="28"/>
          <w:highlight w:val="none"/>
          <w:lang w:val="en-US" w:eastAsia="zh-CN" w:bidi="ar"/>
        </w:rPr>
        <w:t>清楚了解项目具体情况</w:t>
      </w:r>
      <w:r>
        <w:rPr>
          <w:rFonts w:hint="eastAsia" w:ascii="Times New Roman" w:hAnsi="Times New Roman" w:eastAsia="宋体" w:cs="宋体"/>
          <w:sz w:val="28"/>
          <w:szCs w:val="28"/>
          <w:highlight w:val="none"/>
          <w:lang w:val="en-US" w:eastAsia="zh-CN"/>
        </w:rPr>
        <w:t>的占据986%，比较了解的占据10%；在被调查的甘肃人大常委会2023年度省人大常委会会议费项目工作人员中</w:t>
      </w:r>
      <w:r>
        <w:rPr>
          <w:rFonts w:hint="eastAsia" w:ascii="Times New Roman" w:hAnsi="Times New Roman" w:eastAsia="宋体" w:cs="宋体"/>
          <w:i w:val="0"/>
          <w:iCs w:val="0"/>
          <w:color w:val="262626"/>
          <w:kern w:val="0"/>
          <w:sz w:val="28"/>
          <w:szCs w:val="28"/>
          <w:highlight w:val="none"/>
          <w:u w:val="none"/>
          <w:lang w:val="en-US" w:eastAsia="zh-CN" w:bidi="ar"/>
        </w:rPr>
        <w:t>认为项目的工作效果显著的</w:t>
      </w:r>
      <w:r>
        <w:rPr>
          <w:rFonts w:hint="eastAsia" w:ascii="Times New Roman" w:hAnsi="Times New Roman" w:eastAsia="宋体" w:cs="宋体"/>
          <w:sz w:val="28"/>
          <w:szCs w:val="28"/>
          <w:highlight w:val="none"/>
          <w:lang w:val="en-US" w:eastAsia="zh-CN"/>
        </w:rPr>
        <w:t>占据72%，效果良好的占据24%，一般的占据4%；在被调查的甘肃人大常委会2023年度省人大常委会会议费项目工作人员中非常</w:t>
      </w:r>
      <w:r>
        <w:rPr>
          <w:rFonts w:hint="eastAsia" w:ascii="Times New Roman" w:hAnsi="Times New Roman" w:eastAsia="宋体" w:cs="宋体"/>
          <w:i w:val="0"/>
          <w:iCs w:val="0"/>
          <w:color w:val="262626"/>
          <w:kern w:val="0"/>
          <w:sz w:val="28"/>
          <w:szCs w:val="28"/>
          <w:highlight w:val="none"/>
          <w:u w:val="none"/>
          <w:lang w:val="en-US" w:eastAsia="zh-CN" w:bidi="ar"/>
        </w:rPr>
        <w:t>清楚项目的进度</w:t>
      </w:r>
      <w:r>
        <w:rPr>
          <w:rFonts w:hint="eastAsia" w:ascii="Times New Roman" w:hAnsi="Times New Roman" w:eastAsia="宋体" w:cs="宋体"/>
          <w:sz w:val="28"/>
          <w:szCs w:val="28"/>
          <w:highlight w:val="none"/>
          <w:lang w:val="en-US" w:eastAsia="zh-CN"/>
        </w:rPr>
        <w:t>的占据88%，比较清楚的占据10%；在被调查的甘肃人大常委会2023年度省人大常委会会议费项目工作人员中非常清楚</w:t>
      </w:r>
      <w:r>
        <w:rPr>
          <w:rFonts w:hint="eastAsia" w:ascii="Times New Roman" w:hAnsi="Times New Roman" w:eastAsia="宋体" w:cs="宋体"/>
          <w:i w:val="0"/>
          <w:iCs w:val="0"/>
          <w:color w:val="262626"/>
          <w:kern w:val="0"/>
          <w:sz w:val="28"/>
          <w:szCs w:val="28"/>
          <w:highlight w:val="none"/>
          <w:u w:val="none"/>
          <w:lang w:val="en-US" w:eastAsia="zh-CN" w:bidi="ar"/>
        </w:rPr>
        <w:t>目前自己的工作职责内容</w:t>
      </w:r>
      <w:r>
        <w:rPr>
          <w:rFonts w:hint="eastAsia" w:ascii="Times New Roman" w:hAnsi="Times New Roman" w:eastAsia="宋体" w:cs="宋体"/>
          <w:sz w:val="28"/>
          <w:szCs w:val="28"/>
          <w:highlight w:val="none"/>
          <w:lang w:val="en-US" w:eastAsia="zh-CN"/>
        </w:rPr>
        <w:t>的占据88%；</w:t>
      </w:r>
      <w:r>
        <w:rPr>
          <w:rFonts w:hint="eastAsia" w:ascii="Times New Roman" w:hAnsi="Times New Roman" w:eastAsia="宋体" w:cs="宋体"/>
          <w:i w:val="0"/>
          <w:iCs w:val="0"/>
          <w:color w:val="262626"/>
          <w:kern w:val="0"/>
          <w:sz w:val="28"/>
          <w:szCs w:val="28"/>
          <w:highlight w:val="none"/>
          <w:u w:val="none"/>
          <w:lang w:val="en-US" w:eastAsia="zh-CN" w:bidi="ar"/>
        </w:rPr>
        <w:t>认为目前本项目的相关规章制度非常健全</w:t>
      </w:r>
      <w:r>
        <w:rPr>
          <w:rFonts w:hint="eastAsia" w:ascii="Times New Roman" w:hAnsi="Times New Roman" w:eastAsia="宋体" w:cs="宋体"/>
          <w:sz w:val="28"/>
          <w:szCs w:val="28"/>
          <w:highlight w:val="none"/>
          <w:lang w:val="en-US" w:eastAsia="zh-CN"/>
        </w:rPr>
        <w:t>的占据82%，比较健全的占据8%；项目工作人员中</w:t>
      </w:r>
      <w:r>
        <w:rPr>
          <w:rFonts w:hint="eastAsia" w:ascii="Times New Roman" w:hAnsi="Times New Roman" w:eastAsia="宋体" w:cs="宋体"/>
          <w:color w:val="000000"/>
          <w:kern w:val="0"/>
          <w:sz w:val="28"/>
          <w:szCs w:val="28"/>
          <w:highlight w:val="none"/>
          <w:lang w:val="en-US" w:eastAsia="zh-CN" w:bidi="ar"/>
        </w:rPr>
        <w:t>下次非常愿意积极配合项目实施的</w:t>
      </w:r>
      <w:r>
        <w:rPr>
          <w:rFonts w:hint="eastAsia" w:ascii="Times New Roman" w:hAnsi="Times New Roman" w:eastAsia="宋体" w:cs="宋体"/>
          <w:sz w:val="28"/>
          <w:szCs w:val="28"/>
          <w:highlight w:val="none"/>
          <w:lang w:val="en-US" w:eastAsia="zh-CN"/>
        </w:rPr>
        <w:t>占据96%，比较愿意的占据2%。</w:t>
      </w:r>
    </w:p>
    <w:p w14:paraId="4BE5E3EE">
      <w:pPr>
        <w:keepNext w:val="0"/>
        <w:keepLines w:val="0"/>
        <w:pageBreakBefore w:val="0"/>
        <w:kinsoku/>
        <w:wordWrap/>
        <w:overflowPunct/>
        <w:topLinePunct w:val="0"/>
        <w:autoSpaceDE/>
        <w:autoSpaceDN/>
        <w:bidi w:val="0"/>
        <w:adjustRightInd/>
        <w:snapToGrid/>
        <w:spacing w:line="600" w:lineRule="exact"/>
        <w:ind w:firstLine="0" w:firstLineChars="0"/>
        <w:jc w:val="center"/>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b/>
          <w:bCs/>
          <w:sz w:val="24"/>
          <w:szCs w:val="24"/>
          <w:highlight w:val="none"/>
          <w:lang w:val="en-US" w:eastAsia="zh-CN"/>
        </w:rPr>
        <w:t>表6 甘肃人大常委会2023年度省人大常委会会议费项目工作人员</w:t>
      </w:r>
      <w:r>
        <w:rPr>
          <w:rFonts w:hint="eastAsia" w:ascii="Times New Roman" w:hAnsi="Times New Roman" w:eastAsia="宋体" w:cs="宋体"/>
          <w:b/>
          <w:bCs/>
          <w:sz w:val="24"/>
          <w:szCs w:val="24"/>
          <w:highlight w:val="none"/>
        </w:rPr>
        <w:t>调查问卷</w:t>
      </w:r>
      <w:r>
        <w:rPr>
          <w:rFonts w:hint="eastAsia" w:ascii="Times New Roman" w:hAnsi="Times New Roman" w:eastAsia="宋体" w:cs="宋体"/>
          <w:b/>
          <w:bCs/>
          <w:sz w:val="24"/>
          <w:szCs w:val="24"/>
          <w:highlight w:val="none"/>
          <w:lang w:val="en-US" w:eastAsia="zh-CN"/>
        </w:rPr>
        <w:t>满意度问题</w:t>
      </w:r>
      <w:r>
        <w:rPr>
          <w:rFonts w:hint="eastAsia" w:ascii="Times New Roman" w:hAnsi="Times New Roman" w:eastAsia="宋体" w:cs="宋体"/>
          <w:b/>
          <w:bCs/>
          <w:sz w:val="24"/>
          <w:szCs w:val="24"/>
          <w:highlight w:val="none"/>
        </w:rPr>
        <w:t>情况统计表</w:t>
      </w:r>
    </w:p>
    <w:tbl>
      <w:tblPr>
        <w:tblStyle w:val="13"/>
        <w:tblW w:w="8420"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98"/>
        <w:gridCol w:w="2202"/>
        <w:gridCol w:w="1509"/>
        <w:gridCol w:w="1711"/>
      </w:tblGrid>
      <w:tr w14:paraId="4607A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blHeader/>
        </w:trPr>
        <w:tc>
          <w:tcPr>
            <w:tcW w:w="8420" w:type="dxa"/>
            <w:gridSpan w:val="4"/>
            <w:tcBorders>
              <w:tl2br w:val="nil"/>
              <w:tr2bl w:val="nil"/>
            </w:tcBorders>
            <w:shd w:val="clear" w:color="auto" w:fill="auto"/>
            <w:noWrap/>
            <w:vAlign w:val="center"/>
          </w:tcPr>
          <w:p w14:paraId="570499A3">
            <w:pPr>
              <w:keepNext w:val="0"/>
              <w:keepLines w:val="0"/>
              <w:pageBreakBefore w:val="0"/>
              <w:widowControl/>
              <w:suppressLineNumbers w:val="0"/>
              <w:kinsoku/>
              <w:wordWrap/>
              <w:overflowPunct/>
              <w:topLinePunct w:val="0"/>
              <w:autoSpaceDE/>
              <w:autoSpaceDN/>
              <w:bidi w:val="0"/>
              <w:adjustRightInd/>
              <w:snapToGrid/>
              <w:spacing w:line="240" w:lineRule="auto"/>
              <w:ind w:firstLine="482" w:firstLineChars="200"/>
              <w:jc w:val="center"/>
              <w:textAlignment w:val="center"/>
              <w:outlineLvl w:val="9"/>
              <w:rPr>
                <w:rFonts w:hint="eastAsia" w:ascii="Times New Roman" w:hAnsi="Times New Roman" w:eastAsia="宋体" w:cs="宋体"/>
                <w:b/>
                <w:bCs/>
                <w:i w:val="0"/>
                <w:iCs w:val="0"/>
                <w:color w:val="000000"/>
                <w:sz w:val="24"/>
                <w:szCs w:val="24"/>
                <w:highlight w:val="none"/>
                <w:u w:val="none"/>
              </w:rPr>
            </w:pPr>
            <w:r>
              <w:rPr>
                <w:rFonts w:hint="eastAsia" w:ascii="Times New Roman" w:hAnsi="Times New Roman" w:eastAsia="宋体" w:cs="宋体"/>
                <w:b/>
                <w:bCs/>
                <w:i w:val="0"/>
                <w:iCs w:val="0"/>
                <w:color w:val="000000"/>
                <w:kern w:val="0"/>
                <w:sz w:val="24"/>
                <w:szCs w:val="24"/>
                <w:highlight w:val="none"/>
                <w:u w:val="none"/>
                <w:lang w:val="en-US" w:eastAsia="zh-CN" w:bidi="ar"/>
              </w:rPr>
              <w:t>三、满意度问题</w:t>
            </w:r>
          </w:p>
        </w:tc>
      </w:tr>
      <w:tr w14:paraId="64676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blHeader/>
        </w:trPr>
        <w:tc>
          <w:tcPr>
            <w:tcW w:w="2998" w:type="dxa"/>
            <w:tcBorders>
              <w:tl2br w:val="nil"/>
              <w:tr2bl w:val="nil"/>
            </w:tcBorders>
            <w:shd w:val="clear" w:color="auto" w:fill="auto"/>
            <w:noWrap/>
            <w:vAlign w:val="center"/>
          </w:tcPr>
          <w:p w14:paraId="5620022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问题</w:t>
            </w:r>
          </w:p>
        </w:tc>
        <w:tc>
          <w:tcPr>
            <w:tcW w:w="2202" w:type="dxa"/>
            <w:tcBorders>
              <w:tl2br w:val="nil"/>
              <w:tr2bl w:val="nil"/>
            </w:tcBorders>
            <w:shd w:val="clear" w:color="auto" w:fill="auto"/>
            <w:noWrap/>
            <w:vAlign w:val="center"/>
          </w:tcPr>
          <w:p w14:paraId="7AF563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选项</w:t>
            </w:r>
          </w:p>
        </w:tc>
        <w:tc>
          <w:tcPr>
            <w:tcW w:w="1509" w:type="dxa"/>
            <w:tcBorders>
              <w:tl2br w:val="nil"/>
              <w:tr2bl w:val="nil"/>
            </w:tcBorders>
            <w:shd w:val="clear" w:color="auto" w:fill="auto"/>
            <w:noWrap/>
            <w:vAlign w:val="center"/>
          </w:tcPr>
          <w:p w14:paraId="124106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小计</w:t>
            </w:r>
          </w:p>
        </w:tc>
        <w:tc>
          <w:tcPr>
            <w:tcW w:w="1711" w:type="dxa"/>
            <w:tcBorders>
              <w:tl2br w:val="nil"/>
              <w:tr2bl w:val="nil"/>
            </w:tcBorders>
            <w:shd w:val="clear" w:color="auto" w:fill="auto"/>
            <w:noWrap/>
            <w:vAlign w:val="center"/>
          </w:tcPr>
          <w:p w14:paraId="431A88C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b/>
                <w:bCs/>
                <w:i w:val="0"/>
                <w:iCs w:val="0"/>
                <w:color w:val="000000"/>
                <w:kern w:val="0"/>
                <w:sz w:val="24"/>
                <w:szCs w:val="24"/>
                <w:highlight w:val="none"/>
                <w:u w:val="none"/>
                <w:lang w:val="en-US" w:eastAsia="zh-CN" w:bidi="ar"/>
              </w:rPr>
            </w:pPr>
            <w:r>
              <w:rPr>
                <w:rFonts w:hint="eastAsia" w:ascii="Times New Roman" w:hAnsi="Times New Roman" w:eastAsia="宋体" w:cs="宋体"/>
                <w:b/>
                <w:bCs/>
                <w:i w:val="0"/>
                <w:iCs w:val="0"/>
                <w:color w:val="000000"/>
                <w:kern w:val="0"/>
                <w:sz w:val="24"/>
                <w:szCs w:val="24"/>
                <w:highlight w:val="none"/>
                <w:u w:val="none"/>
                <w:lang w:val="en-US" w:eastAsia="zh-CN" w:bidi="ar"/>
              </w:rPr>
              <w:t>比例</w:t>
            </w:r>
          </w:p>
        </w:tc>
      </w:tr>
      <w:tr w14:paraId="0C305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restart"/>
            <w:tcBorders>
              <w:tl2br w:val="nil"/>
              <w:tr2bl w:val="nil"/>
            </w:tcBorders>
            <w:noWrap/>
            <w:vAlign w:val="center"/>
          </w:tcPr>
          <w:p w14:paraId="4B9E9102">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1.您对甘肃人大常委会2023年度省人大常委会会议费项目整体工作成效的评价</w:t>
            </w:r>
          </w:p>
        </w:tc>
        <w:tc>
          <w:tcPr>
            <w:tcW w:w="2202" w:type="dxa"/>
            <w:tcBorders>
              <w:tl2br w:val="nil"/>
              <w:tr2bl w:val="nil"/>
            </w:tcBorders>
            <w:noWrap/>
            <w:vAlign w:val="center"/>
          </w:tcPr>
          <w:p w14:paraId="1D9430B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09" w:type="dxa"/>
            <w:tcBorders>
              <w:tl2br w:val="nil"/>
              <w:tr2bl w:val="nil"/>
            </w:tcBorders>
            <w:noWrap/>
            <w:vAlign w:val="center"/>
          </w:tcPr>
          <w:p w14:paraId="0D3BBDDA">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711" w:type="dxa"/>
            <w:tcBorders>
              <w:tl2br w:val="nil"/>
              <w:tr2bl w:val="nil"/>
            </w:tcBorders>
            <w:noWrap/>
            <w:vAlign w:val="center"/>
          </w:tcPr>
          <w:p w14:paraId="79EDE6D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6CD47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0CD7D46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63EC1D2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09" w:type="dxa"/>
            <w:tcBorders>
              <w:tl2br w:val="nil"/>
              <w:tr2bl w:val="nil"/>
            </w:tcBorders>
            <w:noWrap/>
            <w:vAlign w:val="center"/>
          </w:tcPr>
          <w:p w14:paraId="4D7BBD2E">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11" w:type="dxa"/>
            <w:tcBorders>
              <w:tl2br w:val="nil"/>
              <w:tr2bl w:val="nil"/>
            </w:tcBorders>
            <w:noWrap/>
            <w:vAlign w:val="center"/>
          </w:tcPr>
          <w:p w14:paraId="732401B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05B55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6096EC3F">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581D9BA9">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09" w:type="dxa"/>
            <w:tcBorders>
              <w:tl2br w:val="nil"/>
              <w:tr2bl w:val="nil"/>
            </w:tcBorders>
            <w:noWrap/>
            <w:vAlign w:val="center"/>
          </w:tcPr>
          <w:p w14:paraId="67755A61">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711" w:type="dxa"/>
            <w:tcBorders>
              <w:tl2br w:val="nil"/>
              <w:tr2bl w:val="nil"/>
            </w:tcBorders>
            <w:noWrap/>
            <w:vAlign w:val="center"/>
          </w:tcPr>
          <w:p w14:paraId="11C8069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4.00%</w:t>
            </w:r>
          </w:p>
        </w:tc>
      </w:tr>
      <w:tr w14:paraId="04ABB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27C398A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69BF73E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09" w:type="dxa"/>
            <w:tcBorders>
              <w:tl2br w:val="nil"/>
              <w:tr2bl w:val="nil"/>
            </w:tcBorders>
            <w:noWrap/>
            <w:vAlign w:val="center"/>
          </w:tcPr>
          <w:p w14:paraId="17959488">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11" w:type="dxa"/>
            <w:tcBorders>
              <w:tl2br w:val="nil"/>
              <w:tr2bl w:val="nil"/>
            </w:tcBorders>
            <w:noWrap/>
            <w:vAlign w:val="center"/>
          </w:tcPr>
          <w:p w14:paraId="5F16039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2F6A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665FF057">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24BCC7AD">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09" w:type="dxa"/>
            <w:tcBorders>
              <w:tl2br w:val="nil"/>
              <w:tr2bl w:val="nil"/>
            </w:tcBorders>
            <w:noWrap/>
            <w:vAlign w:val="center"/>
          </w:tcPr>
          <w:p w14:paraId="7FF08B2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1" w:type="dxa"/>
            <w:tcBorders>
              <w:tl2br w:val="nil"/>
              <w:tr2bl w:val="nil"/>
            </w:tcBorders>
            <w:noWrap/>
            <w:vAlign w:val="center"/>
          </w:tcPr>
          <w:p w14:paraId="6A73F24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6165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restart"/>
            <w:tcBorders>
              <w:tl2br w:val="nil"/>
              <w:tr2bl w:val="nil"/>
            </w:tcBorders>
            <w:noWrap/>
            <w:vAlign w:val="center"/>
          </w:tcPr>
          <w:p w14:paraId="35CB8464">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经费使用范围及金额分配的评价</w:t>
            </w:r>
          </w:p>
        </w:tc>
        <w:tc>
          <w:tcPr>
            <w:tcW w:w="2202" w:type="dxa"/>
            <w:tcBorders>
              <w:tl2br w:val="nil"/>
              <w:tr2bl w:val="nil"/>
            </w:tcBorders>
            <w:noWrap/>
            <w:vAlign w:val="center"/>
          </w:tcPr>
          <w:p w14:paraId="0C7A045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09" w:type="dxa"/>
            <w:tcBorders>
              <w:tl2br w:val="nil"/>
              <w:tr2bl w:val="nil"/>
            </w:tcBorders>
            <w:noWrap/>
            <w:vAlign w:val="center"/>
          </w:tcPr>
          <w:p w14:paraId="3A471DCC">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711" w:type="dxa"/>
            <w:tcBorders>
              <w:tl2br w:val="nil"/>
              <w:tr2bl w:val="nil"/>
            </w:tcBorders>
            <w:noWrap/>
            <w:vAlign w:val="center"/>
          </w:tcPr>
          <w:p w14:paraId="03D1DFD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82.00%</w:t>
            </w:r>
          </w:p>
        </w:tc>
      </w:tr>
      <w:tr w14:paraId="12139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35F15395">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2B0D08C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09" w:type="dxa"/>
            <w:tcBorders>
              <w:tl2br w:val="nil"/>
              <w:tr2bl w:val="nil"/>
            </w:tcBorders>
            <w:noWrap/>
            <w:vAlign w:val="center"/>
          </w:tcPr>
          <w:p w14:paraId="56745299">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11" w:type="dxa"/>
            <w:tcBorders>
              <w:tl2br w:val="nil"/>
              <w:tr2bl w:val="nil"/>
            </w:tcBorders>
            <w:noWrap/>
            <w:vAlign w:val="center"/>
          </w:tcPr>
          <w:p w14:paraId="2621DC7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1EED0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28BBC76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103791D0">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09" w:type="dxa"/>
            <w:tcBorders>
              <w:tl2br w:val="nil"/>
              <w:tr2bl w:val="nil"/>
            </w:tcBorders>
            <w:noWrap/>
            <w:vAlign w:val="center"/>
          </w:tcPr>
          <w:p w14:paraId="6200380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711" w:type="dxa"/>
            <w:tcBorders>
              <w:tl2br w:val="nil"/>
              <w:tr2bl w:val="nil"/>
            </w:tcBorders>
            <w:noWrap/>
            <w:vAlign w:val="center"/>
          </w:tcPr>
          <w:p w14:paraId="7C0BA89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10.00%</w:t>
            </w:r>
          </w:p>
        </w:tc>
      </w:tr>
      <w:tr w14:paraId="61158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41C27796">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54ADE274">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09" w:type="dxa"/>
            <w:tcBorders>
              <w:tl2br w:val="nil"/>
              <w:tr2bl w:val="nil"/>
            </w:tcBorders>
            <w:noWrap/>
            <w:vAlign w:val="center"/>
          </w:tcPr>
          <w:p w14:paraId="142F7D02">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11" w:type="dxa"/>
            <w:tcBorders>
              <w:tl2br w:val="nil"/>
              <w:tr2bl w:val="nil"/>
            </w:tcBorders>
            <w:noWrap/>
            <w:vAlign w:val="center"/>
          </w:tcPr>
          <w:p w14:paraId="249F09D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2.00%</w:t>
            </w:r>
          </w:p>
        </w:tc>
      </w:tr>
      <w:tr w14:paraId="66204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676656A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730A807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09" w:type="dxa"/>
            <w:tcBorders>
              <w:tl2br w:val="nil"/>
              <w:tr2bl w:val="nil"/>
            </w:tcBorders>
            <w:noWrap/>
            <w:vAlign w:val="center"/>
          </w:tcPr>
          <w:p w14:paraId="6BD95BE0">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1" w:type="dxa"/>
            <w:tcBorders>
              <w:tl2br w:val="nil"/>
              <w:tr2bl w:val="nil"/>
            </w:tcBorders>
            <w:noWrap/>
            <w:vAlign w:val="center"/>
          </w:tcPr>
          <w:p w14:paraId="3EF44A2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262D8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restart"/>
            <w:tcBorders>
              <w:tl2br w:val="nil"/>
              <w:tr2bl w:val="nil"/>
            </w:tcBorders>
            <w:noWrap/>
            <w:vAlign w:val="center"/>
          </w:tcPr>
          <w:p w14:paraId="6FA08D88">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甘肃人大常委会2023年度省人大常委会会议费项目人员职责部署</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2202" w:type="dxa"/>
            <w:tcBorders>
              <w:tl2br w:val="nil"/>
              <w:tr2bl w:val="nil"/>
            </w:tcBorders>
            <w:noWrap/>
            <w:vAlign w:val="center"/>
          </w:tcPr>
          <w:p w14:paraId="1767AF0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09" w:type="dxa"/>
            <w:tcBorders>
              <w:tl2br w:val="nil"/>
              <w:tr2bl w:val="nil"/>
            </w:tcBorders>
            <w:noWrap/>
            <w:vAlign w:val="center"/>
          </w:tcPr>
          <w:p w14:paraId="17ED679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711" w:type="dxa"/>
            <w:tcBorders>
              <w:tl2br w:val="nil"/>
              <w:tr2bl w:val="nil"/>
            </w:tcBorders>
            <w:noWrap/>
            <w:vAlign w:val="center"/>
          </w:tcPr>
          <w:p w14:paraId="7044B38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66.00%</w:t>
            </w:r>
          </w:p>
        </w:tc>
      </w:tr>
      <w:tr w14:paraId="58F09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609BAF8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5522E763">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09" w:type="dxa"/>
            <w:tcBorders>
              <w:tl2br w:val="nil"/>
              <w:tr2bl w:val="nil"/>
            </w:tcBorders>
            <w:noWrap/>
            <w:vAlign w:val="center"/>
          </w:tcPr>
          <w:p w14:paraId="7A89A067">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711" w:type="dxa"/>
            <w:tcBorders>
              <w:tl2br w:val="nil"/>
              <w:tr2bl w:val="nil"/>
            </w:tcBorders>
            <w:noWrap/>
            <w:vAlign w:val="center"/>
          </w:tcPr>
          <w:p w14:paraId="6577188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28.00%</w:t>
            </w:r>
          </w:p>
        </w:tc>
      </w:tr>
      <w:tr w14:paraId="2B851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1E958BE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1866FF6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09" w:type="dxa"/>
            <w:tcBorders>
              <w:tl2br w:val="nil"/>
              <w:tr2bl w:val="nil"/>
            </w:tcBorders>
            <w:noWrap/>
            <w:vAlign w:val="center"/>
          </w:tcPr>
          <w:p w14:paraId="18EDC066">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711" w:type="dxa"/>
            <w:tcBorders>
              <w:tl2br w:val="nil"/>
              <w:tr2bl w:val="nil"/>
            </w:tcBorders>
            <w:noWrap/>
            <w:vAlign w:val="center"/>
          </w:tcPr>
          <w:p w14:paraId="43AE37CC">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6.00%</w:t>
            </w:r>
          </w:p>
        </w:tc>
      </w:tr>
      <w:tr w14:paraId="68D9F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07614F14">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359D783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09" w:type="dxa"/>
            <w:tcBorders>
              <w:tl2br w:val="nil"/>
              <w:tr2bl w:val="nil"/>
            </w:tcBorders>
            <w:noWrap/>
            <w:vAlign w:val="center"/>
          </w:tcPr>
          <w:p w14:paraId="6BB2123D">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1" w:type="dxa"/>
            <w:tcBorders>
              <w:tl2br w:val="nil"/>
              <w:tr2bl w:val="nil"/>
            </w:tcBorders>
            <w:noWrap/>
            <w:vAlign w:val="center"/>
          </w:tcPr>
          <w:p w14:paraId="3CA049F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30C25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518861DD">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1D8F2B8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09" w:type="dxa"/>
            <w:tcBorders>
              <w:tl2br w:val="nil"/>
              <w:tr2bl w:val="nil"/>
            </w:tcBorders>
            <w:noWrap/>
            <w:vAlign w:val="center"/>
          </w:tcPr>
          <w:p w14:paraId="6D6A3744">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1" w:type="dxa"/>
            <w:tcBorders>
              <w:tl2br w:val="nil"/>
              <w:tr2bl w:val="nil"/>
            </w:tcBorders>
            <w:noWrap/>
            <w:vAlign w:val="center"/>
          </w:tcPr>
          <w:p w14:paraId="6863628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5DE20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restart"/>
            <w:tcBorders>
              <w:tl2br w:val="nil"/>
              <w:tr2bl w:val="nil"/>
            </w:tcBorders>
            <w:noWrap/>
            <w:vAlign w:val="center"/>
          </w:tcPr>
          <w:p w14:paraId="21FCABC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工作人员配备情况的评价</w:t>
            </w:r>
          </w:p>
        </w:tc>
        <w:tc>
          <w:tcPr>
            <w:tcW w:w="2202" w:type="dxa"/>
            <w:tcBorders>
              <w:tl2br w:val="nil"/>
              <w:tr2bl w:val="nil"/>
            </w:tcBorders>
            <w:noWrap/>
            <w:vAlign w:val="center"/>
          </w:tcPr>
          <w:p w14:paraId="4F792A2B">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09" w:type="dxa"/>
            <w:tcBorders>
              <w:tl2br w:val="nil"/>
              <w:tr2bl w:val="nil"/>
            </w:tcBorders>
            <w:noWrap/>
            <w:vAlign w:val="center"/>
          </w:tcPr>
          <w:p w14:paraId="33379358">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711" w:type="dxa"/>
            <w:tcBorders>
              <w:tl2br w:val="nil"/>
              <w:tr2bl w:val="nil"/>
            </w:tcBorders>
            <w:noWrap/>
            <w:vAlign w:val="center"/>
          </w:tcPr>
          <w:p w14:paraId="1A45BCCD">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88.00%</w:t>
            </w:r>
          </w:p>
        </w:tc>
      </w:tr>
      <w:tr w14:paraId="72291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269B912E">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000BB96E">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09" w:type="dxa"/>
            <w:tcBorders>
              <w:tl2br w:val="nil"/>
              <w:tr2bl w:val="nil"/>
            </w:tcBorders>
            <w:noWrap/>
            <w:vAlign w:val="center"/>
          </w:tcPr>
          <w:p w14:paraId="7316E727">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711" w:type="dxa"/>
            <w:tcBorders>
              <w:tl2br w:val="nil"/>
              <w:tr2bl w:val="nil"/>
            </w:tcBorders>
            <w:noWrap/>
            <w:vAlign w:val="center"/>
          </w:tcPr>
          <w:p w14:paraId="11BF37F6">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4.00%</w:t>
            </w:r>
          </w:p>
        </w:tc>
      </w:tr>
      <w:tr w14:paraId="32FAD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70DB14C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55EA98C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09" w:type="dxa"/>
            <w:tcBorders>
              <w:tl2br w:val="nil"/>
              <w:tr2bl w:val="nil"/>
            </w:tcBorders>
            <w:noWrap/>
            <w:vAlign w:val="center"/>
          </w:tcPr>
          <w:p w14:paraId="162E1B9F">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711" w:type="dxa"/>
            <w:tcBorders>
              <w:tl2br w:val="nil"/>
              <w:tr2bl w:val="nil"/>
            </w:tcBorders>
            <w:noWrap/>
            <w:vAlign w:val="center"/>
          </w:tcPr>
          <w:p w14:paraId="1C15F15E">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8.00%</w:t>
            </w:r>
          </w:p>
        </w:tc>
      </w:tr>
      <w:tr w14:paraId="28FE8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391A1F32">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5D1F7338">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09" w:type="dxa"/>
            <w:tcBorders>
              <w:tl2br w:val="nil"/>
              <w:tr2bl w:val="nil"/>
            </w:tcBorders>
            <w:noWrap/>
            <w:vAlign w:val="center"/>
          </w:tcPr>
          <w:p w14:paraId="4F7AF763">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1" w:type="dxa"/>
            <w:tcBorders>
              <w:tl2br w:val="nil"/>
              <w:tr2bl w:val="nil"/>
            </w:tcBorders>
            <w:noWrap/>
            <w:vAlign w:val="center"/>
          </w:tcPr>
          <w:p w14:paraId="616E705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194BE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18F2DA90">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0B517297">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09" w:type="dxa"/>
            <w:tcBorders>
              <w:tl2br w:val="nil"/>
              <w:tr2bl w:val="nil"/>
            </w:tcBorders>
            <w:noWrap/>
            <w:vAlign w:val="center"/>
          </w:tcPr>
          <w:p w14:paraId="6D669BDC">
            <w:pPr>
              <w:keepNext w:val="0"/>
              <w:keepLines w:val="0"/>
              <w:widowControl/>
              <w:suppressLineNumbers w:val="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1711" w:type="dxa"/>
            <w:tcBorders>
              <w:tl2br w:val="nil"/>
              <w:tr2bl w:val="nil"/>
            </w:tcBorders>
            <w:noWrap/>
            <w:vAlign w:val="center"/>
          </w:tcPr>
          <w:p w14:paraId="7EF854C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409CE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restart"/>
            <w:tcBorders>
              <w:tl2br w:val="nil"/>
              <w:tr2bl w:val="nil"/>
            </w:tcBorders>
            <w:noWrap/>
            <w:vAlign w:val="center"/>
          </w:tcPr>
          <w:p w14:paraId="4CFB289E">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i w:val="0"/>
                <w:iCs w:val="0"/>
                <w:color w:val="262626"/>
                <w:sz w:val="24"/>
                <w:szCs w:val="24"/>
                <w:highlight w:val="none"/>
                <w:u w:val="none"/>
                <w:lang w:val="en-US"/>
              </w:rPr>
            </w:pPr>
            <w:r>
              <w:rPr>
                <w:rFonts w:hint="eastAsia" w:ascii="Times New Roman" w:hAnsi="Times New Roman" w:eastAsia="宋体" w:cs="宋体"/>
                <w:i w:val="0"/>
                <w:iCs w:val="0"/>
                <w:color w:val="262626"/>
                <w:kern w:val="0"/>
                <w:sz w:val="24"/>
                <w:szCs w:val="24"/>
                <w:highlight w:val="none"/>
                <w:u w:val="none"/>
                <w:lang w:val="en-US" w:eastAsia="zh-CN" w:bidi="ar"/>
              </w:rPr>
              <w:t>5.您对目前</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工作环境的评价</w:t>
            </w:r>
          </w:p>
        </w:tc>
        <w:tc>
          <w:tcPr>
            <w:tcW w:w="2202" w:type="dxa"/>
            <w:tcBorders>
              <w:tl2br w:val="nil"/>
              <w:tr2bl w:val="nil"/>
            </w:tcBorders>
            <w:noWrap/>
            <w:vAlign w:val="center"/>
          </w:tcPr>
          <w:p w14:paraId="77FCCE26">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A.非常满意</w:t>
            </w:r>
          </w:p>
        </w:tc>
        <w:tc>
          <w:tcPr>
            <w:tcW w:w="1509" w:type="dxa"/>
            <w:tcBorders>
              <w:tl2br w:val="nil"/>
              <w:tr2bl w:val="nil"/>
            </w:tcBorders>
            <w:noWrap/>
            <w:vAlign w:val="center"/>
          </w:tcPr>
          <w:p w14:paraId="0C35DE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42</w:t>
            </w:r>
          </w:p>
        </w:tc>
        <w:tc>
          <w:tcPr>
            <w:tcW w:w="1711" w:type="dxa"/>
            <w:tcBorders>
              <w:tl2br w:val="nil"/>
              <w:tr2bl w:val="nil"/>
            </w:tcBorders>
            <w:noWrap/>
            <w:vAlign w:val="center"/>
          </w:tcPr>
          <w:p w14:paraId="7D901F9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96.00%</w:t>
            </w:r>
          </w:p>
        </w:tc>
      </w:tr>
      <w:tr w14:paraId="691F3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2E4729E1">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1786009A">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B.比较满意</w:t>
            </w:r>
          </w:p>
        </w:tc>
        <w:tc>
          <w:tcPr>
            <w:tcW w:w="1509" w:type="dxa"/>
            <w:tcBorders>
              <w:tl2br w:val="nil"/>
              <w:tr2bl w:val="nil"/>
            </w:tcBorders>
            <w:noWrap/>
            <w:vAlign w:val="center"/>
          </w:tcPr>
          <w:p w14:paraId="185CD0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w:t>
            </w:r>
          </w:p>
        </w:tc>
        <w:tc>
          <w:tcPr>
            <w:tcW w:w="1711" w:type="dxa"/>
            <w:tcBorders>
              <w:tl2br w:val="nil"/>
              <w:tr2bl w:val="nil"/>
            </w:tcBorders>
            <w:noWrap/>
            <w:vAlign w:val="center"/>
          </w:tcPr>
          <w:p w14:paraId="2514A9E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4.00%</w:t>
            </w:r>
          </w:p>
        </w:tc>
      </w:tr>
      <w:tr w14:paraId="1B9E5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40FFEA03">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6794062C">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C.基本满意</w:t>
            </w:r>
          </w:p>
        </w:tc>
        <w:tc>
          <w:tcPr>
            <w:tcW w:w="1509" w:type="dxa"/>
            <w:tcBorders>
              <w:tl2br w:val="nil"/>
              <w:tr2bl w:val="nil"/>
            </w:tcBorders>
            <w:noWrap/>
            <w:vAlign w:val="center"/>
          </w:tcPr>
          <w:p w14:paraId="48A326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1" w:type="dxa"/>
            <w:tcBorders>
              <w:tl2br w:val="nil"/>
              <w:tr2bl w:val="nil"/>
            </w:tcBorders>
            <w:noWrap/>
            <w:vAlign w:val="center"/>
          </w:tcPr>
          <w:p w14:paraId="64851BB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14FBE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2998" w:type="dxa"/>
            <w:vMerge w:val="continue"/>
            <w:tcBorders>
              <w:tl2br w:val="nil"/>
              <w:tr2bl w:val="nil"/>
            </w:tcBorders>
            <w:noWrap/>
            <w:vAlign w:val="center"/>
          </w:tcPr>
          <w:p w14:paraId="457C83C9">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35B30722">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D.不太满意</w:t>
            </w:r>
          </w:p>
        </w:tc>
        <w:tc>
          <w:tcPr>
            <w:tcW w:w="1509" w:type="dxa"/>
            <w:tcBorders>
              <w:tl2br w:val="nil"/>
              <w:tr2bl w:val="nil"/>
            </w:tcBorders>
            <w:noWrap/>
            <w:vAlign w:val="center"/>
          </w:tcPr>
          <w:p w14:paraId="35FF6C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1" w:type="dxa"/>
            <w:tcBorders>
              <w:tl2br w:val="nil"/>
              <w:tr2bl w:val="nil"/>
            </w:tcBorders>
            <w:noWrap/>
            <w:vAlign w:val="center"/>
          </w:tcPr>
          <w:p w14:paraId="58F29134">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r w14:paraId="3C17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2998" w:type="dxa"/>
            <w:vMerge w:val="continue"/>
            <w:tcBorders>
              <w:tl2br w:val="nil"/>
              <w:tr2bl w:val="nil"/>
            </w:tcBorders>
            <w:noWrap/>
            <w:vAlign w:val="center"/>
          </w:tcPr>
          <w:p w14:paraId="7DCFC8EA">
            <w:pPr>
              <w:keepNext w:val="0"/>
              <w:keepLines w:val="0"/>
              <w:pageBreakBefore w:val="0"/>
              <w:kinsoku/>
              <w:wordWrap/>
              <w:overflowPunct/>
              <w:topLinePunct w:val="0"/>
              <w:autoSpaceDE/>
              <w:autoSpaceDN/>
              <w:bidi w:val="0"/>
              <w:adjustRightInd/>
              <w:snapToGrid/>
              <w:spacing w:line="240" w:lineRule="auto"/>
              <w:ind w:firstLine="480" w:firstLineChars="200"/>
              <w:jc w:val="left"/>
              <w:outlineLvl w:val="9"/>
              <w:rPr>
                <w:rFonts w:hint="eastAsia" w:ascii="Times New Roman" w:hAnsi="Times New Roman" w:eastAsia="宋体" w:cs="宋体"/>
                <w:i w:val="0"/>
                <w:iCs w:val="0"/>
                <w:color w:val="262626"/>
                <w:sz w:val="24"/>
                <w:szCs w:val="24"/>
                <w:highlight w:val="none"/>
                <w:u w:val="none"/>
              </w:rPr>
            </w:pPr>
          </w:p>
        </w:tc>
        <w:tc>
          <w:tcPr>
            <w:tcW w:w="2202" w:type="dxa"/>
            <w:tcBorders>
              <w:tl2br w:val="nil"/>
              <w:tr2bl w:val="nil"/>
            </w:tcBorders>
            <w:noWrap/>
            <w:vAlign w:val="center"/>
          </w:tcPr>
          <w:p w14:paraId="767173E5">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center"/>
              <w:outlineLvl w:val="9"/>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E.非常不满意</w:t>
            </w:r>
          </w:p>
        </w:tc>
        <w:tc>
          <w:tcPr>
            <w:tcW w:w="1509" w:type="dxa"/>
            <w:tcBorders>
              <w:tl2br w:val="nil"/>
              <w:tr2bl w:val="nil"/>
            </w:tcBorders>
            <w:noWrap/>
            <w:vAlign w:val="center"/>
          </w:tcPr>
          <w:p w14:paraId="20B948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0</w:t>
            </w:r>
          </w:p>
        </w:tc>
        <w:tc>
          <w:tcPr>
            <w:tcW w:w="1711" w:type="dxa"/>
            <w:tcBorders>
              <w:tl2br w:val="nil"/>
              <w:tr2bl w:val="nil"/>
            </w:tcBorders>
            <w:noWrap/>
            <w:vAlign w:val="center"/>
          </w:tcPr>
          <w:p w14:paraId="534BB678">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0.00%</w:t>
            </w:r>
          </w:p>
        </w:tc>
      </w:tr>
    </w:tbl>
    <w:p w14:paraId="58284F1F">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r>
        <w:rPr>
          <w:rFonts w:hint="eastAsia" w:ascii="Times New Roman" w:hAnsi="Times New Roman" w:eastAsia="宋体" w:cs="宋体"/>
          <w:szCs w:val="32"/>
          <w:highlight w:val="yellow"/>
          <w:lang w:eastAsia="zh-CN"/>
        </w:rPr>
        <w:drawing>
          <wp:anchor distT="0" distB="0" distL="114300" distR="114300" simplePos="0" relativeHeight="251663360" behindDoc="0" locked="0" layoutInCell="1" allowOverlap="1">
            <wp:simplePos x="0" y="0"/>
            <wp:positionH relativeFrom="column">
              <wp:posOffset>-36830</wp:posOffset>
            </wp:positionH>
            <wp:positionV relativeFrom="paragraph">
              <wp:posOffset>99060</wp:posOffset>
            </wp:positionV>
            <wp:extent cx="5218430" cy="2491105"/>
            <wp:effectExtent l="4445" t="4445" r="6350" b="952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DB5A750">
      <w:pPr>
        <w:keepNext w:val="0"/>
        <w:keepLines w:val="0"/>
        <w:pageBreakBefore w:val="0"/>
        <w:kinsoku/>
        <w:wordWrap/>
        <w:overflowPunct/>
        <w:topLinePunct w:val="0"/>
        <w:autoSpaceDE/>
        <w:autoSpaceDN/>
        <w:bidi w:val="0"/>
        <w:adjustRightInd/>
        <w:snapToGrid/>
        <w:spacing w:line="600" w:lineRule="exact"/>
        <w:ind w:firstLine="420" w:firstLineChars="200"/>
        <w:outlineLvl w:val="9"/>
        <w:rPr>
          <w:rFonts w:hint="eastAsia" w:ascii="Times New Roman" w:hAnsi="Times New Roman" w:eastAsia="宋体" w:cs="宋体"/>
          <w:szCs w:val="32"/>
          <w:highlight w:val="yellow"/>
          <w:lang w:eastAsia="zh-CN"/>
        </w:rPr>
      </w:pPr>
    </w:p>
    <w:p w14:paraId="3054C293">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p>
    <w:p w14:paraId="6FCF4625">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p>
    <w:p w14:paraId="468EFB1A">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p>
    <w:p w14:paraId="13124787">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p>
    <w:p w14:paraId="58D2F9AC">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p>
    <w:p w14:paraId="5FB3C1F6">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问卷调查结果显示，在调查的甘肃人大常委会2023年度省人大常委会会议费项目工作人员中，有88%的项目工作人员对甘肃人大常委会2023年度省人大常委会会议费项目整体工作表示非常满意，有6%的项目工作人员比较满意，4%的项目工作人员基本满意，2%项目工作人员不太满意；有82%的项目工作人员对甘肃人大常委会2023年度省人大常委会会议费项目经费使用范围及金额分配表示非常满意，有6%的项目工作人员比较满意，10%的项目工作人员基本满意；有66%的工作人员对甘肃人大常委会2023年度省人大常委会会议费项目人员分配及职责部署表示非常满意，有28%的工作人员比较满意，6%的工作人员基本满意；有88%的项目工作人员对甘肃人大常委会2023年度省人大常委会会议费项目工作人员配备情况表示非常满意，有4%的项目工作人员比较满意；有96%的项目工作人员对目前甘肃人大常委会2023年度省人大常委会会议费项目工作环境表示非常满意，有4%的项目工作人员比较满意。</w:t>
      </w:r>
    </w:p>
    <w:p w14:paraId="3C893245">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rPr>
      </w:pPr>
      <w:r>
        <w:rPr>
          <w:rFonts w:hint="eastAsia" w:ascii="Times New Roman" w:hAnsi="Times New Roman" w:eastAsia="宋体" w:cs="宋体"/>
          <w:sz w:val="28"/>
          <w:szCs w:val="28"/>
          <w:highlight w:val="none"/>
          <w:lang w:val="en-US" w:eastAsia="zh-CN"/>
        </w:rPr>
        <w:t>综上所述，项目工作人员对甘肃人大常委会2023年度省人大常委会会议费项目满意度较高。</w:t>
      </w:r>
    </w:p>
    <w:p w14:paraId="11FECC2B">
      <w:pPr>
        <w:keepNext w:val="0"/>
        <w:keepLines w:val="0"/>
        <w:pageBreakBefore w:val="0"/>
        <w:kinsoku/>
        <w:wordWrap/>
        <w:overflowPunct/>
        <w:topLinePunct w:val="0"/>
        <w:autoSpaceDE/>
        <w:autoSpaceDN/>
        <w:bidi w:val="0"/>
        <w:adjustRightInd/>
        <w:snapToGrid/>
        <w:spacing w:line="600" w:lineRule="exact"/>
        <w:ind w:firstLine="560" w:firstLineChars="200"/>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rPr>
        <w:t>本次满意度计算采取百分制通用计算公式：满意度分数=非常满意比例×100+比较满意比例×80+基本满意×60+不太满意比例×40+非常不满意×0。计算出</w:t>
      </w:r>
      <w:r>
        <w:rPr>
          <w:rFonts w:hint="eastAsia" w:ascii="Times New Roman" w:hAnsi="Times New Roman" w:eastAsia="宋体" w:cs="宋体"/>
          <w:sz w:val="28"/>
          <w:szCs w:val="28"/>
          <w:highlight w:val="none"/>
          <w:lang w:val="en-US" w:eastAsia="zh-CN"/>
        </w:rPr>
        <w:t>甘肃人大常委会2023年度省人大常委会会议费项目工作人员</w:t>
      </w:r>
      <w:r>
        <w:rPr>
          <w:rFonts w:hint="eastAsia" w:ascii="Times New Roman" w:hAnsi="Times New Roman" w:eastAsia="宋体" w:cs="宋体"/>
          <w:sz w:val="28"/>
          <w:szCs w:val="28"/>
          <w:highlight w:val="none"/>
        </w:rPr>
        <w:t>整体满意度为</w:t>
      </w:r>
      <w:r>
        <w:rPr>
          <w:rFonts w:hint="eastAsia" w:ascii="Times New Roman" w:hAnsi="Times New Roman" w:eastAsia="宋体" w:cs="宋体"/>
          <w:sz w:val="28"/>
          <w:szCs w:val="28"/>
          <w:highlight w:val="none"/>
          <w:lang w:val="en-US" w:eastAsia="zh-CN"/>
        </w:rPr>
        <w:t>93.28%。</w:t>
      </w:r>
    </w:p>
    <w:p w14:paraId="20D17083">
      <w:pPr>
        <w:outlineLvl w:val="9"/>
        <w:rPr>
          <w:rFonts w:hint="eastAsia" w:ascii="Times New Roman" w:hAnsi="Times New Roman" w:eastAsia="宋体" w:cs="宋体"/>
          <w:b/>
          <w:bCs/>
          <w:sz w:val="28"/>
          <w:szCs w:val="28"/>
          <w:highlight w:val="yellow"/>
          <w:lang w:val="en-US" w:eastAsia="zh-CN"/>
        </w:rPr>
      </w:pPr>
      <w:r>
        <w:rPr>
          <w:rFonts w:hint="eastAsia" w:ascii="Times New Roman" w:hAnsi="Times New Roman" w:eastAsia="宋体" w:cs="宋体"/>
          <w:b/>
          <w:bCs/>
          <w:sz w:val="28"/>
          <w:szCs w:val="28"/>
          <w:highlight w:val="yellow"/>
          <w:lang w:val="en-US" w:eastAsia="zh-CN"/>
        </w:rPr>
        <w:br w:type="page"/>
      </w:r>
    </w:p>
    <w:p w14:paraId="5DBBD51A">
      <w:pPr>
        <w:keepNext w:val="0"/>
        <w:keepLines w:val="0"/>
        <w:pageBreakBefore w:val="0"/>
        <w:kinsoku/>
        <w:wordWrap/>
        <w:overflowPunct/>
        <w:topLinePunct w:val="0"/>
        <w:autoSpaceDE/>
        <w:autoSpaceDN/>
        <w:bidi w:val="0"/>
        <w:adjustRightInd/>
        <w:snapToGrid/>
        <w:spacing w:line="600" w:lineRule="exact"/>
        <w:jc w:val="both"/>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满意度调查问卷如下：</w:t>
      </w:r>
    </w:p>
    <w:p w14:paraId="7C309F91">
      <w:pPr>
        <w:keepNext w:val="0"/>
        <w:keepLines w:val="0"/>
        <w:pageBreakBefore w:val="0"/>
        <w:kinsoku/>
        <w:wordWrap/>
        <w:overflowPunct/>
        <w:topLinePunct w:val="0"/>
        <w:autoSpaceDE/>
        <w:autoSpaceDN/>
        <w:bidi w:val="0"/>
        <w:adjustRightInd/>
        <w:snapToGrid/>
        <w:spacing w:line="600" w:lineRule="exact"/>
        <w:jc w:val="center"/>
        <w:outlineLvl w:val="9"/>
        <w:rPr>
          <w:rFonts w:hint="eastAsia" w:ascii="Times New Roman" w:hAnsi="Times New Roman" w:eastAsia="宋体" w:cs="宋体"/>
          <w:b/>
          <w:bCs/>
          <w:sz w:val="28"/>
          <w:szCs w:val="21"/>
          <w:highlight w:val="none"/>
          <w:lang w:val="en-US" w:eastAsia="zh-CN"/>
        </w:rPr>
      </w:pPr>
      <w:bookmarkStart w:id="126" w:name="_Toc27772"/>
      <w:bookmarkStart w:id="127" w:name="_Toc30065"/>
      <w:bookmarkStart w:id="128" w:name="_Toc10258"/>
      <w:r>
        <w:rPr>
          <w:rFonts w:hint="eastAsia" w:ascii="Times New Roman" w:hAnsi="Times New Roman" w:eastAsia="宋体" w:cs="宋体"/>
          <w:b/>
          <w:bCs/>
          <w:sz w:val="28"/>
          <w:szCs w:val="21"/>
          <w:highlight w:val="none"/>
          <w:lang w:val="en-US" w:eastAsia="zh-CN"/>
        </w:rPr>
        <w:t>甘肃人大常委会2023年度省人大常委会会议费项目参会委员满意度调查问卷</w:t>
      </w:r>
      <w:bookmarkEnd w:id="126"/>
      <w:bookmarkEnd w:id="127"/>
      <w:bookmarkEnd w:id="128"/>
    </w:p>
    <w:p w14:paraId="00D7105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bookmarkStart w:id="129" w:name="_Toc18500"/>
      <w:bookmarkStart w:id="130" w:name="_Toc655"/>
      <w:bookmarkStart w:id="131" w:name="_Toc22234"/>
      <w:r>
        <w:rPr>
          <w:rFonts w:hint="eastAsia" w:ascii="Times New Roman" w:hAnsi="Times New Roman" w:eastAsia="宋体" w:cs="宋体"/>
          <w:b/>
          <w:color w:val="000000"/>
          <w:kern w:val="0"/>
          <w:sz w:val="24"/>
          <w:szCs w:val="24"/>
          <w:highlight w:val="none"/>
          <w:lang w:val="en-US" w:eastAsia="zh-CN" w:bidi="ar"/>
        </w:rPr>
        <w:t>一、</w:t>
      </w:r>
      <w:bookmarkEnd w:id="129"/>
      <w:bookmarkEnd w:id="130"/>
      <w:bookmarkEnd w:id="131"/>
      <w:r>
        <w:rPr>
          <w:rFonts w:hint="eastAsia" w:ascii="Times New Roman" w:hAnsi="Times New Roman" w:eastAsia="宋体" w:cs="宋体"/>
          <w:b/>
          <w:color w:val="000000"/>
          <w:kern w:val="0"/>
          <w:sz w:val="24"/>
          <w:szCs w:val="24"/>
          <w:highlight w:val="none"/>
          <w:lang w:val="en-US" w:eastAsia="zh-CN" w:bidi="ar"/>
        </w:rPr>
        <w:t>个人信息</w:t>
      </w:r>
    </w:p>
    <w:p w14:paraId="5760E6C8">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bookmarkStart w:id="132" w:name="_Toc4526"/>
      <w:bookmarkStart w:id="133" w:name="_Toc25604"/>
      <w:bookmarkStart w:id="134" w:name="_Toc23195"/>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i w:val="0"/>
          <w:iCs w:val="0"/>
          <w:color w:val="000000"/>
          <w:kern w:val="0"/>
          <w:sz w:val="24"/>
          <w:szCs w:val="24"/>
          <w:highlight w:val="none"/>
          <w:u w:val="none"/>
          <w:lang w:val="en-US" w:eastAsia="zh-CN" w:bidi="ar"/>
        </w:rPr>
        <w:t>您的性别为</w:t>
      </w:r>
      <w:r>
        <w:rPr>
          <w:rFonts w:hint="eastAsia" w:ascii="Times New Roman" w:hAnsi="Times New Roman" w:eastAsia="宋体" w:cs="宋体"/>
          <w:color w:val="auto"/>
          <w:sz w:val="24"/>
          <w:szCs w:val="24"/>
          <w:highlight w:val="none"/>
          <w:lang w:val="en-US" w:eastAsia="zh-CN"/>
        </w:rPr>
        <w:t>（ ）</w:t>
      </w:r>
      <w:bookmarkEnd w:id="132"/>
      <w:bookmarkEnd w:id="133"/>
      <w:bookmarkEnd w:id="134"/>
    </w:p>
    <w:p w14:paraId="512E2C4E">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 xml:space="preserve">A. 男           B. 女 </w:t>
      </w:r>
    </w:p>
    <w:p w14:paraId="13CA820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2.</w:t>
      </w:r>
      <w:r>
        <w:rPr>
          <w:rFonts w:hint="eastAsia" w:ascii="Times New Roman" w:hAnsi="Times New Roman" w:eastAsia="宋体" w:cs="宋体"/>
          <w:color w:val="000000"/>
          <w:kern w:val="0"/>
          <w:sz w:val="24"/>
          <w:szCs w:val="24"/>
          <w:highlight w:val="none"/>
          <w:lang w:val="en-US" w:eastAsia="zh-CN" w:bidi="ar"/>
        </w:rPr>
        <w:t>您的民族为</w:t>
      </w:r>
      <w:r>
        <w:rPr>
          <w:rFonts w:hint="eastAsia" w:ascii="Times New Roman" w:hAnsi="Times New Roman" w:eastAsia="宋体" w:cs="宋体"/>
          <w:color w:val="auto"/>
          <w:kern w:val="2"/>
          <w:sz w:val="24"/>
          <w:szCs w:val="24"/>
          <w:highlight w:val="none"/>
          <w:lang w:val="en-US" w:eastAsia="zh-CN" w:bidi="ar-SA"/>
        </w:rPr>
        <w:t>（ ）</w:t>
      </w:r>
    </w:p>
    <w:p w14:paraId="44215D6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b w:val="0"/>
          <w:bCs/>
          <w:color w:val="000000"/>
          <w:kern w:val="0"/>
          <w:sz w:val="24"/>
          <w:szCs w:val="24"/>
          <w:highlight w:val="none"/>
          <w:lang w:val="en-US" w:eastAsia="zh-CN" w:bidi="ar"/>
        </w:rPr>
        <w:t xml:space="preserve">A. </w:t>
      </w:r>
      <w:r>
        <w:rPr>
          <w:rFonts w:hint="eastAsia" w:ascii="Times New Roman" w:hAnsi="Times New Roman" w:eastAsia="宋体" w:cs="宋体"/>
          <w:color w:val="000000"/>
          <w:kern w:val="0"/>
          <w:sz w:val="24"/>
          <w:szCs w:val="24"/>
          <w:highlight w:val="none"/>
          <w:lang w:val="en-US" w:eastAsia="zh-CN" w:bidi="ar"/>
        </w:rPr>
        <w:t xml:space="preserve">汉族         </w:t>
      </w:r>
      <w:r>
        <w:rPr>
          <w:rFonts w:hint="eastAsia" w:ascii="Times New Roman" w:hAnsi="Times New Roman" w:eastAsia="宋体" w:cs="宋体"/>
          <w:b w:val="0"/>
          <w:bCs/>
          <w:color w:val="000000"/>
          <w:kern w:val="0"/>
          <w:sz w:val="24"/>
          <w:szCs w:val="24"/>
          <w:highlight w:val="none"/>
          <w:lang w:val="en-US" w:eastAsia="zh-CN" w:bidi="ar"/>
        </w:rPr>
        <w:t>B. 少数民族</w:t>
      </w:r>
    </w:p>
    <w:p w14:paraId="3DBB02D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二、基本信息</w:t>
      </w:r>
    </w:p>
    <w:p w14:paraId="44F75F70">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eastAsia="zh-CN"/>
        </w:rPr>
      </w:pPr>
      <w:bookmarkStart w:id="135" w:name="_Toc18807"/>
      <w:bookmarkStart w:id="136" w:name="_Toc31504"/>
      <w:bookmarkStart w:id="137" w:name="_Toc15371"/>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000000"/>
          <w:kern w:val="0"/>
          <w:sz w:val="24"/>
          <w:szCs w:val="24"/>
          <w:highlight w:val="none"/>
          <w:lang w:val="en-US" w:eastAsia="zh-CN" w:bidi="ar"/>
        </w:rPr>
        <w:t>您是否清楚甘肃人大常委会2023年度省人大常委会会议费项目整体流程</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lang w:val="en-US" w:eastAsia="zh-CN"/>
        </w:rPr>
        <w:t xml:space="preserve"> </w:t>
      </w:r>
      <w:r>
        <w:rPr>
          <w:rFonts w:hint="eastAsia" w:ascii="Times New Roman" w:hAnsi="Times New Roman" w:eastAsia="宋体" w:cs="宋体"/>
          <w:color w:val="auto"/>
          <w:sz w:val="24"/>
          <w:szCs w:val="24"/>
          <w:highlight w:val="none"/>
          <w:lang w:eastAsia="zh-CN"/>
        </w:rPr>
        <w:t>）</w:t>
      </w:r>
      <w:bookmarkEnd w:id="135"/>
      <w:bookmarkEnd w:id="136"/>
      <w:bookmarkEnd w:id="137"/>
    </w:p>
    <w:p w14:paraId="096E016E">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A. 非常清楚     B. 比较清楚     C. 一般     D. 不清楚</w:t>
      </w:r>
    </w:p>
    <w:p w14:paraId="29328A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2.对于甘肃人大常委会2023年度省人大常委会会议费项目是否征集过人大代表的意见或建议？（ ）</w:t>
      </w:r>
    </w:p>
    <w:p w14:paraId="53BCF5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Cs/>
          <w:sz w:val="24"/>
          <w:szCs w:val="24"/>
          <w:highlight w:val="none"/>
          <w:lang w:val="en-US" w:eastAsia="zh-CN"/>
        </w:rPr>
        <w:t xml:space="preserve">A. 是             B. 否    </w:t>
      </w:r>
    </w:p>
    <w:p w14:paraId="1D6403F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3.您认为有哪些因素会影响项目实施</w:t>
      </w:r>
      <w:r>
        <w:rPr>
          <w:rFonts w:hint="eastAsia" w:ascii="Times New Roman" w:hAnsi="Times New Roman" w:eastAsia="宋体" w:cs="宋体"/>
          <w:color w:val="auto"/>
          <w:kern w:val="2"/>
          <w:sz w:val="24"/>
          <w:szCs w:val="24"/>
          <w:highlight w:val="none"/>
          <w:lang w:val="en-US" w:eastAsia="zh-CN" w:bidi="ar-SA"/>
        </w:rPr>
        <w:t>（ ）</w:t>
      </w:r>
    </w:p>
    <w:p w14:paraId="69526D7B">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sz w:val="24"/>
          <w:szCs w:val="24"/>
          <w:highlight w:val="none"/>
          <w:lang w:val="en-US" w:eastAsia="zh-CN"/>
        </w:rPr>
        <w:t xml:space="preserve">A. </w:t>
      </w:r>
      <w:r>
        <w:rPr>
          <w:rFonts w:hint="eastAsia" w:ascii="Times New Roman" w:hAnsi="Times New Roman" w:eastAsia="宋体" w:cs="宋体"/>
          <w:color w:val="000000"/>
          <w:kern w:val="0"/>
          <w:sz w:val="24"/>
          <w:szCs w:val="24"/>
          <w:highlight w:val="none"/>
          <w:lang w:val="en-US" w:eastAsia="zh-CN" w:bidi="ar"/>
        </w:rPr>
        <w:t>资金问题</w:t>
      </w:r>
      <w:r>
        <w:rPr>
          <w:rFonts w:hint="eastAsia" w:ascii="Times New Roman" w:hAnsi="Times New Roman" w:eastAsia="宋体" w:cs="宋体"/>
          <w:sz w:val="24"/>
          <w:szCs w:val="24"/>
          <w:highlight w:val="none"/>
          <w:lang w:val="en-US" w:eastAsia="zh-CN"/>
        </w:rPr>
        <w:t xml:space="preserve">  B. </w:t>
      </w:r>
      <w:r>
        <w:rPr>
          <w:rFonts w:hint="eastAsia" w:ascii="Times New Roman" w:hAnsi="Times New Roman" w:eastAsia="宋体" w:cs="宋体"/>
          <w:color w:val="000000"/>
          <w:kern w:val="0"/>
          <w:sz w:val="24"/>
          <w:szCs w:val="24"/>
          <w:highlight w:val="none"/>
          <w:lang w:val="en-US" w:eastAsia="zh-CN" w:bidi="ar"/>
        </w:rPr>
        <w:t>工作人员业务水平</w:t>
      </w:r>
      <w:r>
        <w:rPr>
          <w:rFonts w:hint="eastAsia" w:ascii="Times New Roman" w:hAnsi="Times New Roman" w:eastAsia="宋体" w:cs="宋体"/>
          <w:sz w:val="24"/>
          <w:szCs w:val="24"/>
          <w:highlight w:val="none"/>
          <w:lang w:val="en-US" w:eastAsia="zh-CN"/>
        </w:rPr>
        <w:t xml:space="preserve">  C. </w:t>
      </w:r>
      <w:r>
        <w:rPr>
          <w:rFonts w:hint="eastAsia" w:ascii="Times New Roman" w:hAnsi="Times New Roman" w:eastAsia="宋体" w:cs="宋体"/>
          <w:color w:val="000000"/>
          <w:kern w:val="0"/>
          <w:sz w:val="24"/>
          <w:szCs w:val="24"/>
          <w:highlight w:val="none"/>
          <w:lang w:val="en-US" w:eastAsia="zh-CN" w:bidi="ar"/>
        </w:rPr>
        <w:t>基础设备配备</w:t>
      </w:r>
      <w:r>
        <w:rPr>
          <w:rFonts w:hint="eastAsia" w:ascii="Times New Roman" w:hAnsi="Times New Roman" w:eastAsia="宋体" w:cs="宋体"/>
          <w:sz w:val="24"/>
          <w:szCs w:val="24"/>
          <w:highlight w:val="none"/>
          <w:lang w:val="en-US" w:eastAsia="zh-CN"/>
        </w:rPr>
        <w:t xml:space="preserve">  D. </w:t>
      </w:r>
      <w:r>
        <w:rPr>
          <w:rFonts w:hint="eastAsia" w:ascii="Times New Roman" w:hAnsi="Times New Roman" w:eastAsia="宋体" w:cs="宋体"/>
          <w:color w:val="000000"/>
          <w:kern w:val="0"/>
          <w:sz w:val="24"/>
          <w:szCs w:val="24"/>
          <w:highlight w:val="none"/>
          <w:lang w:val="en-US" w:eastAsia="zh-CN" w:bidi="ar"/>
        </w:rPr>
        <w:t>其他</w:t>
      </w:r>
    </w:p>
    <w:p w14:paraId="34983D1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bCs/>
          <w:kern w:val="2"/>
          <w:sz w:val="24"/>
          <w:szCs w:val="24"/>
          <w:highlight w:val="none"/>
          <w:lang w:val="en-US" w:eastAsia="zh-CN" w:bidi="ar-SA"/>
        </w:rPr>
      </w:pPr>
      <w:bookmarkStart w:id="138" w:name="_Toc25220"/>
      <w:bookmarkStart w:id="139" w:name="_Toc18484"/>
      <w:bookmarkStart w:id="140" w:name="_Toc2932"/>
      <w:r>
        <w:rPr>
          <w:rFonts w:hint="eastAsia" w:ascii="Times New Roman" w:hAnsi="Times New Roman" w:eastAsia="宋体" w:cs="宋体"/>
          <w:color w:val="000000"/>
          <w:kern w:val="0"/>
          <w:sz w:val="24"/>
          <w:szCs w:val="24"/>
          <w:highlight w:val="none"/>
          <w:lang w:val="en-US" w:eastAsia="zh-CN" w:bidi="ar"/>
        </w:rPr>
        <w:t>4.您认为项目实施后保障效果如何</w:t>
      </w:r>
      <w:r>
        <w:rPr>
          <w:rFonts w:hint="eastAsia" w:ascii="Times New Roman" w:hAnsi="Times New Roman" w:eastAsia="宋体" w:cs="宋体"/>
          <w:bCs/>
          <w:kern w:val="2"/>
          <w:sz w:val="24"/>
          <w:szCs w:val="24"/>
          <w:highlight w:val="none"/>
          <w:lang w:val="en-US" w:eastAsia="zh-CN" w:bidi="ar-SA"/>
        </w:rPr>
        <w:t>（ ）</w:t>
      </w:r>
      <w:bookmarkEnd w:id="138"/>
      <w:bookmarkEnd w:id="139"/>
      <w:bookmarkEnd w:id="140"/>
    </w:p>
    <w:p w14:paraId="552A2A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效果显著     B. 效果良好     C. 一般     D. 效果较差</w:t>
      </w:r>
    </w:p>
    <w:p w14:paraId="426FA0E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5.</w:t>
      </w:r>
      <w:r>
        <w:rPr>
          <w:rFonts w:hint="eastAsia" w:ascii="Times New Roman" w:hAnsi="Times New Roman" w:eastAsia="宋体" w:cs="宋体"/>
          <w:bCs/>
          <w:sz w:val="24"/>
          <w:szCs w:val="24"/>
          <w:highlight w:val="none"/>
          <w:lang w:val="en-US" w:eastAsia="zh-CN"/>
        </w:rPr>
        <w:t>您对甘肃人大常委会2023年度省人大常委会会议费项目的实施效果</w:t>
      </w:r>
      <w:r>
        <w:rPr>
          <w:rFonts w:hint="eastAsia" w:ascii="Times New Roman" w:hAnsi="Times New Roman" w:eastAsia="宋体" w:cs="宋体"/>
          <w:kern w:val="2"/>
          <w:sz w:val="24"/>
          <w:szCs w:val="24"/>
          <w:highlight w:val="none"/>
          <w:lang w:val="en-US" w:eastAsia="zh-CN" w:bidi="ar-SA"/>
        </w:rPr>
        <w:t>（ ）</w:t>
      </w:r>
    </w:p>
    <w:p w14:paraId="35A0FF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效果显著     B. 效果良好     C. 一般     D. 效果较差</w:t>
      </w:r>
    </w:p>
    <w:p w14:paraId="76DE39FE">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
          <w:color w:val="000000"/>
          <w:kern w:val="0"/>
          <w:sz w:val="24"/>
          <w:szCs w:val="24"/>
          <w:highlight w:val="none"/>
          <w:lang w:val="en-US" w:eastAsia="zh-CN" w:bidi="ar"/>
        </w:rPr>
      </w:pPr>
      <w:bookmarkStart w:id="141" w:name="_Toc18274"/>
      <w:bookmarkStart w:id="142" w:name="_Toc21341"/>
      <w:bookmarkStart w:id="143" w:name="_Toc27948"/>
    </w:p>
    <w:p w14:paraId="4DDD3A52">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
          <w:color w:val="000000"/>
          <w:kern w:val="0"/>
          <w:sz w:val="24"/>
          <w:szCs w:val="24"/>
          <w:highlight w:val="none"/>
          <w:lang w:val="en-US" w:eastAsia="zh-CN" w:bidi="ar"/>
        </w:rPr>
      </w:pPr>
    </w:p>
    <w:p w14:paraId="12CECF31">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
          <w:color w:val="000000"/>
          <w:kern w:val="0"/>
          <w:sz w:val="24"/>
          <w:szCs w:val="24"/>
          <w:highlight w:val="none"/>
          <w:lang w:val="en-US" w:eastAsia="zh-CN" w:bidi="ar"/>
        </w:rPr>
      </w:pPr>
    </w:p>
    <w:p w14:paraId="6C1B344F">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
          <w:color w:val="000000"/>
          <w:kern w:val="0"/>
          <w:sz w:val="24"/>
          <w:szCs w:val="24"/>
          <w:highlight w:val="none"/>
          <w:lang w:val="en-US" w:eastAsia="zh-CN" w:bidi="ar"/>
        </w:rPr>
        <w:t>三、满意度</w:t>
      </w:r>
      <w:bookmarkEnd w:id="141"/>
      <w:bookmarkEnd w:id="142"/>
      <w:bookmarkEnd w:id="143"/>
    </w:p>
    <w:p w14:paraId="546C3DF0">
      <w:pPr>
        <w:keepNext w:val="0"/>
        <w:keepLines w:val="0"/>
        <w:pageBreakBefore w:val="0"/>
        <w:tabs>
          <w:tab w:val="left" w:pos="2694"/>
        </w:tabs>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请根据您的真实感受就以下问题分别做出满意度判断，在对应的方框上</w:t>
      </w:r>
      <w:r>
        <w:rPr>
          <w:rFonts w:hint="eastAsia" w:ascii="Times New Roman" w:hAnsi="Times New Roman" w:eastAsia="宋体" w:cs="宋体"/>
          <w:bCs/>
          <w:sz w:val="24"/>
          <w:szCs w:val="24"/>
          <w:highlight w:val="none"/>
          <w:lang w:eastAsia="zh-CN"/>
        </w:rPr>
        <w:t>打勾</w:t>
      </w:r>
      <w:r>
        <w:rPr>
          <w:rFonts w:hint="eastAsia" w:ascii="Times New Roman" w:hAnsi="Times New Roman" w:eastAsia="宋体" w:cs="宋体"/>
          <w:bCs/>
          <w:sz w:val="24"/>
          <w:szCs w:val="24"/>
          <w:highlight w:val="none"/>
        </w:rPr>
        <w:t>。</w:t>
      </w:r>
    </w:p>
    <w:tbl>
      <w:tblPr>
        <w:tblStyle w:val="13"/>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3"/>
        <w:gridCol w:w="854"/>
        <w:gridCol w:w="854"/>
        <w:gridCol w:w="854"/>
        <w:gridCol w:w="927"/>
        <w:gridCol w:w="980"/>
      </w:tblGrid>
      <w:tr w14:paraId="61A0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3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7E1D53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Times New Roman" w:hAnsi="Times New Roman" w:eastAsia="宋体" w:cs="宋体"/>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508C7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w:t>
            </w:r>
          </w:p>
          <w:p w14:paraId="0DC8EA6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3F14B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比较</w:t>
            </w:r>
          </w:p>
          <w:p w14:paraId="1CD5D43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C2CA3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基本</w:t>
            </w:r>
          </w:p>
          <w:p w14:paraId="5730326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2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7DB47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不太</w:t>
            </w:r>
          </w:p>
          <w:p w14:paraId="6331179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54C08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非常不满意</w:t>
            </w:r>
          </w:p>
        </w:tc>
      </w:tr>
      <w:tr w14:paraId="72EB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385ABAA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1.</w:t>
            </w:r>
            <w:r>
              <w:rPr>
                <w:rFonts w:hint="eastAsia" w:ascii="Times New Roman" w:hAnsi="Times New Roman" w:eastAsia="宋体" w:cs="宋体"/>
                <w:i w:val="0"/>
                <w:iCs w:val="0"/>
                <w:color w:val="262626"/>
                <w:kern w:val="0"/>
                <w:sz w:val="24"/>
                <w:szCs w:val="24"/>
                <w:highlight w:val="none"/>
                <w:u w:val="none"/>
                <w:lang w:val="en-US" w:eastAsia="zh-CN" w:bidi="ar"/>
              </w:rPr>
              <w:t>您对</w:t>
            </w:r>
            <w:r>
              <w:rPr>
                <w:rFonts w:hint="eastAsia" w:ascii="Times New Roman" w:hAnsi="Times New Roman" w:eastAsia="宋体" w:cs="宋体"/>
                <w:color w:val="000000"/>
                <w:kern w:val="0"/>
                <w:sz w:val="24"/>
                <w:szCs w:val="24"/>
                <w:highlight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整体工作的评价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DC2C26C">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449B7D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74A109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C88036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151BFC3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89E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A3B547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color w:val="000000"/>
                <w:kern w:val="0"/>
                <w:sz w:val="24"/>
                <w:szCs w:val="24"/>
                <w:highlight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维护法治促进民主发展提升性情况的评价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0141EE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01D1588">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1FAAA37">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7CD6B13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BDDEA0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63E5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B8A05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color w:val="000000"/>
                <w:kern w:val="0"/>
                <w:sz w:val="24"/>
                <w:szCs w:val="24"/>
                <w:highlight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民生经济发展保障性的评价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35CDA19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BBFCFD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6E3574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24111789">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65A195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54E1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072D5C8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color w:val="000000"/>
                <w:kern w:val="0"/>
                <w:sz w:val="24"/>
                <w:szCs w:val="24"/>
                <w:highlight w:val="none"/>
                <w:lang w:val="en-US" w:eastAsia="zh-CN" w:bidi="ar"/>
              </w:rPr>
              <w:t>甘肃人大常委会2023年度省人大常委会会议费项目整体流程</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1D7BC955">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98976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938D1F0">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5102D57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02047A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0EF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719498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5.</w:t>
            </w:r>
            <w:r>
              <w:rPr>
                <w:rFonts w:hint="eastAsia" w:ascii="Times New Roman" w:hAnsi="Times New Roman" w:eastAsia="宋体" w:cs="宋体"/>
                <w:color w:val="000000"/>
                <w:kern w:val="0"/>
                <w:sz w:val="24"/>
                <w:szCs w:val="24"/>
                <w:highlight w:val="none"/>
                <w:lang w:val="en-US" w:eastAsia="zh-CN" w:bidi="ar"/>
              </w:rPr>
              <w:t>您对甘肃人大常委会2023年度省人大常委会会议费项目工作效率的评价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8471AA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3595585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E27CB1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27" w:type="dxa"/>
            <w:tcBorders>
              <w:top w:val="single" w:color="auto" w:sz="4" w:space="0"/>
              <w:left w:val="single" w:color="auto" w:sz="4" w:space="0"/>
              <w:bottom w:val="single" w:color="auto" w:sz="4" w:space="0"/>
              <w:right w:val="single" w:color="auto" w:sz="4" w:space="0"/>
            </w:tcBorders>
            <w:noWrap w:val="0"/>
            <w:vAlign w:val="center"/>
          </w:tcPr>
          <w:p w14:paraId="0EF7F1F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23A833D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bl>
    <w:p w14:paraId="6E5C8CB5">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4"/>
          <w:szCs w:val="32"/>
          <w:highlight w:val="none"/>
          <w:u w:val="single"/>
        </w:rPr>
      </w:pPr>
    </w:p>
    <w:p w14:paraId="13D60B67">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 w:val="24"/>
          <w:szCs w:val="32"/>
          <w:highlight w:val="yellow"/>
          <w:u w:val="single"/>
        </w:rPr>
      </w:pPr>
    </w:p>
    <w:p w14:paraId="3C7BF734">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highlight w:val="yellow"/>
        </w:rPr>
      </w:pPr>
      <w:r>
        <w:rPr>
          <w:rFonts w:hint="eastAsia" w:ascii="Times New Roman" w:hAnsi="Times New Roman" w:eastAsia="宋体" w:cs="宋体"/>
          <w:sz w:val="24"/>
          <w:szCs w:val="32"/>
          <w:highlight w:val="yellow"/>
          <w:u w:val="single"/>
        </w:rPr>
        <w:br w:type="page"/>
      </w:r>
    </w:p>
    <w:p w14:paraId="03EE8045">
      <w:pPr>
        <w:keepNext w:val="0"/>
        <w:keepLines w:val="0"/>
        <w:pageBreakBefore w:val="0"/>
        <w:kinsoku/>
        <w:wordWrap/>
        <w:overflowPunct/>
        <w:topLinePunct w:val="0"/>
        <w:autoSpaceDE/>
        <w:autoSpaceDN/>
        <w:bidi w:val="0"/>
        <w:adjustRightInd/>
        <w:snapToGrid/>
        <w:spacing w:line="600" w:lineRule="exact"/>
        <w:jc w:val="both"/>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lang w:val="en-US" w:eastAsia="zh-CN"/>
        </w:rPr>
        <w:t>满意度调查问卷如下：</w:t>
      </w:r>
    </w:p>
    <w:p w14:paraId="72B0E087">
      <w:pPr>
        <w:keepNext w:val="0"/>
        <w:keepLines w:val="0"/>
        <w:pageBreakBefore w:val="0"/>
        <w:kinsoku/>
        <w:wordWrap/>
        <w:overflowPunct/>
        <w:topLinePunct w:val="0"/>
        <w:autoSpaceDE/>
        <w:autoSpaceDN/>
        <w:bidi w:val="0"/>
        <w:adjustRightInd/>
        <w:snapToGrid/>
        <w:spacing w:line="600" w:lineRule="exact"/>
        <w:jc w:val="center"/>
        <w:outlineLvl w:val="9"/>
        <w:rPr>
          <w:rFonts w:hint="eastAsia" w:ascii="Times New Roman" w:hAnsi="Times New Roman" w:eastAsia="宋体" w:cs="宋体"/>
          <w:b/>
          <w:bCs/>
          <w:sz w:val="28"/>
          <w:szCs w:val="21"/>
          <w:highlight w:val="none"/>
          <w:lang w:val="en-US" w:eastAsia="zh-CN"/>
        </w:rPr>
      </w:pPr>
      <w:r>
        <w:rPr>
          <w:rFonts w:hint="eastAsia" w:ascii="Times New Roman" w:hAnsi="Times New Roman" w:eastAsia="宋体" w:cs="宋体"/>
          <w:b/>
          <w:bCs/>
          <w:sz w:val="28"/>
          <w:szCs w:val="21"/>
          <w:highlight w:val="none"/>
          <w:lang w:val="en-US" w:eastAsia="zh-CN"/>
        </w:rPr>
        <w:t>甘肃人大常委会2023年度各委员会及研究室专项经费工作人员满意度调查问卷</w:t>
      </w:r>
    </w:p>
    <w:p w14:paraId="2999E7E0">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一、个人信息</w:t>
      </w:r>
    </w:p>
    <w:p w14:paraId="1B6D6845">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i w:val="0"/>
          <w:iCs w:val="0"/>
          <w:color w:val="000000"/>
          <w:kern w:val="0"/>
          <w:sz w:val="24"/>
          <w:szCs w:val="24"/>
          <w:highlight w:val="none"/>
          <w:u w:val="none"/>
          <w:lang w:val="en-US" w:eastAsia="zh-CN" w:bidi="ar"/>
        </w:rPr>
        <w:t>您的性别为</w:t>
      </w:r>
      <w:r>
        <w:rPr>
          <w:rFonts w:hint="eastAsia" w:ascii="Times New Roman" w:hAnsi="Times New Roman" w:eastAsia="宋体" w:cs="宋体"/>
          <w:color w:val="auto"/>
          <w:sz w:val="24"/>
          <w:szCs w:val="24"/>
          <w:highlight w:val="none"/>
          <w:lang w:val="en-US" w:eastAsia="zh-CN"/>
        </w:rPr>
        <w:t>（ ）</w:t>
      </w:r>
    </w:p>
    <w:p w14:paraId="23E82A0F">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lang w:val="en-US" w:eastAsia="zh-CN"/>
        </w:rPr>
        <w:t xml:space="preserve">A. 男           B. 女 </w:t>
      </w:r>
    </w:p>
    <w:p w14:paraId="3194C2C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color w:val="auto"/>
          <w:kern w:val="2"/>
          <w:sz w:val="24"/>
          <w:szCs w:val="24"/>
          <w:highlight w:val="none"/>
          <w:lang w:val="en-US" w:eastAsia="zh-CN" w:bidi="ar-SA"/>
        </w:rPr>
        <w:t>2.</w:t>
      </w:r>
      <w:r>
        <w:rPr>
          <w:rFonts w:hint="eastAsia" w:ascii="Times New Roman" w:hAnsi="Times New Roman" w:eastAsia="宋体" w:cs="宋体"/>
          <w:i w:val="0"/>
          <w:iCs w:val="0"/>
          <w:color w:val="262626"/>
          <w:kern w:val="0"/>
          <w:sz w:val="24"/>
          <w:szCs w:val="24"/>
          <w:highlight w:val="none"/>
          <w:u w:val="none"/>
          <w:lang w:val="en-US" w:eastAsia="zh-CN" w:bidi="ar"/>
        </w:rPr>
        <w:t>您的工作年限是</w:t>
      </w:r>
      <w:r>
        <w:rPr>
          <w:rFonts w:hint="eastAsia" w:ascii="Times New Roman" w:hAnsi="Times New Roman" w:eastAsia="宋体" w:cs="宋体"/>
          <w:color w:val="auto"/>
          <w:kern w:val="2"/>
          <w:sz w:val="24"/>
          <w:szCs w:val="24"/>
          <w:highlight w:val="none"/>
          <w:lang w:val="en-US" w:eastAsia="zh-CN" w:bidi="ar-SA"/>
        </w:rPr>
        <w:t>（ ）</w:t>
      </w:r>
    </w:p>
    <w:p w14:paraId="31EF6851">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b w:val="0"/>
          <w:bCs/>
          <w:color w:val="000000"/>
          <w:kern w:val="0"/>
          <w:sz w:val="24"/>
          <w:szCs w:val="24"/>
          <w:highlight w:val="none"/>
          <w:lang w:val="en-US" w:eastAsia="zh-CN" w:bidi="ar"/>
        </w:rPr>
        <w:t xml:space="preserve">A. </w:t>
      </w:r>
      <w:r>
        <w:rPr>
          <w:rFonts w:hint="eastAsia" w:ascii="Times New Roman" w:hAnsi="Times New Roman" w:eastAsia="宋体" w:cs="宋体"/>
          <w:i w:val="0"/>
          <w:iCs w:val="0"/>
          <w:color w:val="000000"/>
          <w:kern w:val="0"/>
          <w:sz w:val="24"/>
          <w:szCs w:val="24"/>
          <w:highlight w:val="none"/>
          <w:u w:val="none"/>
          <w:lang w:val="en-US" w:eastAsia="zh-CN" w:bidi="ar"/>
        </w:rPr>
        <w:t>1-2年（含两年）</w:t>
      </w:r>
      <w:r>
        <w:rPr>
          <w:rFonts w:hint="eastAsia" w:ascii="Times New Roman" w:hAnsi="Times New Roman" w:eastAsia="宋体" w:cs="宋体"/>
          <w:color w:val="000000"/>
          <w:kern w:val="0"/>
          <w:sz w:val="24"/>
          <w:szCs w:val="24"/>
          <w:highlight w:val="none"/>
          <w:lang w:val="en-US" w:eastAsia="zh-CN" w:bidi="ar"/>
        </w:rPr>
        <w:t xml:space="preserve">     </w:t>
      </w:r>
      <w:r>
        <w:rPr>
          <w:rFonts w:hint="eastAsia" w:ascii="Times New Roman" w:hAnsi="Times New Roman" w:eastAsia="宋体" w:cs="宋体"/>
          <w:b w:val="0"/>
          <w:bCs/>
          <w:color w:val="000000"/>
          <w:kern w:val="0"/>
          <w:sz w:val="24"/>
          <w:szCs w:val="24"/>
          <w:highlight w:val="none"/>
          <w:lang w:val="en-US" w:eastAsia="zh-CN" w:bidi="ar"/>
        </w:rPr>
        <w:t xml:space="preserve">B. </w:t>
      </w:r>
      <w:r>
        <w:rPr>
          <w:rFonts w:hint="eastAsia" w:ascii="Times New Roman" w:hAnsi="Times New Roman" w:eastAsia="宋体" w:cs="宋体"/>
          <w:i w:val="0"/>
          <w:iCs w:val="0"/>
          <w:color w:val="000000"/>
          <w:kern w:val="0"/>
          <w:sz w:val="24"/>
          <w:szCs w:val="24"/>
          <w:highlight w:val="none"/>
          <w:u w:val="none"/>
          <w:lang w:val="en-US" w:eastAsia="zh-CN" w:bidi="ar"/>
        </w:rPr>
        <w:t>2-5年（含5年）</w:t>
      </w:r>
      <w:r>
        <w:rPr>
          <w:rFonts w:hint="eastAsia" w:ascii="Times New Roman" w:hAnsi="Times New Roman" w:eastAsia="宋体" w:cs="宋体"/>
          <w:color w:val="000000"/>
          <w:kern w:val="0"/>
          <w:sz w:val="24"/>
          <w:szCs w:val="24"/>
          <w:highlight w:val="none"/>
          <w:lang w:val="en-US" w:eastAsia="zh-CN" w:bidi="ar"/>
        </w:rPr>
        <w:t xml:space="preserve">     C. </w:t>
      </w:r>
      <w:r>
        <w:rPr>
          <w:rFonts w:hint="eastAsia" w:ascii="Times New Roman" w:hAnsi="Times New Roman" w:eastAsia="宋体" w:cs="宋体"/>
          <w:i w:val="0"/>
          <w:iCs w:val="0"/>
          <w:color w:val="000000"/>
          <w:kern w:val="0"/>
          <w:sz w:val="24"/>
          <w:szCs w:val="24"/>
          <w:highlight w:val="none"/>
          <w:u w:val="none"/>
          <w:lang w:val="en-US" w:eastAsia="zh-CN" w:bidi="ar"/>
        </w:rPr>
        <w:t>5年以上</w:t>
      </w:r>
    </w:p>
    <w:p w14:paraId="20B1E99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482"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bidi="ar"/>
        </w:rPr>
        <w:t>二、基本信息</w:t>
      </w:r>
    </w:p>
    <w:p w14:paraId="23254AC1">
      <w:pPr>
        <w:keepNext w:val="0"/>
        <w:keepLines w:val="0"/>
        <w:pageBreakBefore w:val="0"/>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1.</w:t>
      </w:r>
      <w:r>
        <w:rPr>
          <w:rFonts w:hint="eastAsia" w:ascii="Times New Roman" w:hAnsi="Times New Roman" w:eastAsia="宋体" w:cs="宋体"/>
          <w:color w:val="000000"/>
          <w:kern w:val="0"/>
          <w:sz w:val="24"/>
          <w:szCs w:val="24"/>
          <w:highlight w:val="none"/>
          <w:lang w:val="en-US" w:eastAsia="zh-CN" w:bidi="ar"/>
        </w:rPr>
        <w:t>您是否组织过甘肃人大常委会2023年度省人大常委会会议费项目</w:t>
      </w:r>
      <w:r>
        <w:rPr>
          <w:rFonts w:hint="eastAsia" w:ascii="Times New Roman" w:hAnsi="Times New Roman" w:eastAsia="宋体" w:cs="宋体"/>
          <w:color w:val="auto"/>
          <w:sz w:val="24"/>
          <w:szCs w:val="24"/>
          <w:highlight w:val="none"/>
          <w:lang w:val="en-US" w:eastAsia="zh-CN"/>
        </w:rPr>
        <w:t>（ ）</w:t>
      </w:r>
    </w:p>
    <w:p w14:paraId="1AC7FC2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kern w:val="2"/>
          <w:sz w:val="24"/>
          <w:szCs w:val="24"/>
          <w:highlight w:val="none"/>
          <w:lang w:val="en-US" w:eastAsia="zh-CN" w:bidi="ar-SA"/>
        </w:rPr>
        <w:t>A. 是           B. 否</w:t>
      </w:r>
    </w:p>
    <w:p w14:paraId="4D7E93B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2.</w:t>
      </w:r>
      <w:r>
        <w:rPr>
          <w:rFonts w:hint="eastAsia" w:ascii="Times New Roman" w:hAnsi="Times New Roman" w:eastAsia="宋体" w:cs="宋体"/>
          <w:color w:val="000000"/>
          <w:kern w:val="0"/>
          <w:sz w:val="24"/>
          <w:szCs w:val="24"/>
          <w:highlight w:val="none"/>
          <w:lang w:val="en-US" w:eastAsia="zh-CN" w:bidi="ar"/>
        </w:rPr>
        <w:t>您是否清楚了解到甘肃人大常委会2023年度省人大常委会会议费项目</w:t>
      </w:r>
      <w:r>
        <w:rPr>
          <w:rFonts w:hint="eastAsia" w:ascii="Times New Roman" w:hAnsi="Times New Roman" w:eastAsia="宋体" w:cs="宋体"/>
          <w:color w:val="auto"/>
          <w:kern w:val="2"/>
          <w:sz w:val="24"/>
          <w:szCs w:val="24"/>
          <w:highlight w:val="none"/>
          <w:lang w:val="en-US" w:eastAsia="zh-CN" w:bidi="ar-SA"/>
        </w:rPr>
        <w:t>（ ）</w:t>
      </w:r>
    </w:p>
    <w:p w14:paraId="01AE7DF2">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auto"/>
          <w:sz w:val="24"/>
          <w:szCs w:val="24"/>
          <w:highlight w:val="none"/>
          <w:lang w:val="en-US" w:eastAsia="zh-CN"/>
        </w:rPr>
      </w:pPr>
      <w:r>
        <w:rPr>
          <w:rFonts w:hint="eastAsia" w:ascii="Times New Roman" w:hAnsi="Times New Roman" w:eastAsia="宋体" w:cs="宋体"/>
          <w:sz w:val="24"/>
          <w:szCs w:val="24"/>
          <w:highlight w:val="none"/>
          <w:lang w:val="en-US" w:eastAsia="zh-CN"/>
        </w:rPr>
        <w:t>A. 非常清楚     B. 比较清楚     C. 一般     D. 不清楚</w:t>
      </w:r>
    </w:p>
    <w:p w14:paraId="013A000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color w:val="auto"/>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3.您认为甘肃人大常委会2023年度省人大常委会会议费项目的工作效果如何</w:t>
      </w:r>
      <w:r>
        <w:rPr>
          <w:rFonts w:hint="eastAsia" w:ascii="Times New Roman" w:hAnsi="Times New Roman" w:eastAsia="宋体" w:cs="宋体"/>
          <w:color w:val="auto"/>
          <w:kern w:val="2"/>
          <w:sz w:val="24"/>
          <w:szCs w:val="24"/>
          <w:highlight w:val="none"/>
          <w:lang w:val="en-US" w:eastAsia="zh-CN" w:bidi="ar-SA"/>
        </w:rPr>
        <w:t>（ ）</w:t>
      </w:r>
    </w:p>
    <w:p w14:paraId="137C11BB">
      <w:pPr>
        <w:keepNext w:val="0"/>
        <w:keepLines w:val="0"/>
        <w:pageBreakBefore w:val="0"/>
        <w:numPr>
          <w:ilvl w:val="0"/>
          <w:numId w:val="0"/>
        </w:numPr>
        <w:kinsoku/>
        <w:wordWrap/>
        <w:overflowPunct/>
        <w:topLinePunct w:val="0"/>
        <w:autoSpaceDE/>
        <w:autoSpaceDN/>
        <w:bidi w:val="0"/>
        <w:adjustRightInd/>
        <w:snapToGrid/>
        <w:spacing w:line="600" w:lineRule="exact"/>
        <w:ind w:firstLine="480" w:firstLineChars="200"/>
        <w:jc w:val="left"/>
        <w:textAlignment w:val="auto"/>
        <w:outlineLvl w:val="9"/>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sz w:val="24"/>
          <w:szCs w:val="24"/>
          <w:highlight w:val="none"/>
          <w:lang w:val="en-US" w:eastAsia="zh-CN"/>
        </w:rPr>
        <w:t>A. 效果显著     B. 效果良好     C. 一般     D. 无效果</w:t>
      </w:r>
    </w:p>
    <w:p w14:paraId="66C60A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4.您是否清楚甘肃人大常委会2023年度省人大常委会会议费项目的进度</w:t>
      </w:r>
      <w:r>
        <w:rPr>
          <w:rFonts w:hint="eastAsia" w:ascii="Times New Roman" w:hAnsi="Times New Roman" w:eastAsia="宋体" w:cs="宋体"/>
          <w:bCs/>
          <w:sz w:val="24"/>
          <w:szCs w:val="24"/>
          <w:highlight w:val="none"/>
          <w:lang w:val="en-US" w:eastAsia="zh-CN"/>
        </w:rPr>
        <w:t>（ ）</w:t>
      </w:r>
    </w:p>
    <w:p w14:paraId="67D2E2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非常清楚     B. 比较清楚     C. 一般     D. 不清楚</w:t>
      </w:r>
    </w:p>
    <w:p w14:paraId="7844953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bCs/>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5.您对目前自己的工作职责内容是否清楚</w:t>
      </w:r>
      <w:r>
        <w:rPr>
          <w:rFonts w:hint="eastAsia" w:ascii="Times New Roman" w:hAnsi="Times New Roman" w:eastAsia="宋体" w:cs="宋体"/>
          <w:bCs/>
          <w:kern w:val="2"/>
          <w:sz w:val="24"/>
          <w:szCs w:val="24"/>
          <w:highlight w:val="none"/>
          <w:lang w:val="en-US" w:eastAsia="zh-CN" w:bidi="ar-SA"/>
        </w:rPr>
        <w:t>（ ）</w:t>
      </w:r>
    </w:p>
    <w:p w14:paraId="61031A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非常清楚     B. 比较清楚     C. 一般     D. 不清楚</w:t>
      </w:r>
    </w:p>
    <w:p w14:paraId="0F1478A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6.您认为目前本项目的相关规章制度是否健全</w:t>
      </w:r>
      <w:r>
        <w:rPr>
          <w:rFonts w:hint="eastAsia" w:ascii="Times New Roman" w:hAnsi="Times New Roman" w:eastAsia="宋体" w:cs="宋体"/>
          <w:kern w:val="2"/>
          <w:sz w:val="24"/>
          <w:szCs w:val="24"/>
          <w:highlight w:val="none"/>
          <w:lang w:val="en-US" w:eastAsia="zh-CN" w:bidi="ar-SA"/>
        </w:rPr>
        <w:t>（ ）</w:t>
      </w:r>
    </w:p>
    <w:p w14:paraId="2BA0FD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非常健全     B. 比较健全     C. 一般     D. 不健全</w:t>
      </w:r>
    </w:p>
    <w:p w14:paraId="1939645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i w:val="0"/>
          <w:iCs w:val="0"/>
          <w:color w:val="262626"/>
          <w:kern w:val="0"/>
          <w:sz w:val="24"/>
          <w:szCs w:val="24"/>
          <w:highlight w:val="none"/>
          <w:u w:val="none"/>
          <w:lang w:val="en-US" w:eastAsia="zh-CN" w:bidi="ar"/>
        </w:rPr>
        <w:t>7.您所在部门日常工作管理制度是否完备</w:t>
      </w:r>
      <w:r>
        <w:rPr>
          <w:rFonts w:hint="eastAsia" w:ascii="Times New Roman" w:hAnsi="Times New Roman" w:eastAsia="宋体" w:cs="宋体"/>
          <w:kern w:val="2"/>
          <w:sz w:val="24"/>
          <w:szCs w:val="24"/>
          <w:highlight w:val="none"/>
          <w:lang w:val="en-US" w:eastAsia="zh-CN" w:bidi="ar-SA"/>
        </w:rPr>
        <w:t>（ ）</w:t>
      </w:r>
    </w:p>
    <w:p w14:paraId="1C2F67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非常完备     B. 比较完备     C. 一般     D. 不完备</w:t>
      </w:r>
    </w:p>
    <w:p w14:paraId="1C21991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Times New Roman" w:hAnsi="Times New Roman" w:eastAsia="宋体" w:cs="宋体"/>
          <w:kern w:val="2"/>
          <w:sz w:val="24"/>
          <w:szCs w:val="24"/>
          <w:highlight w:val="none"/>
          <w:lang w:val="en-US" w:eastAsia="zh-CN" w:bidi="ar-SA"/>
        </w:rPr>
      </w:pPr>
      <w:r>
        <w:rPr>
          <w:rFonts w:hint="eastAsia" w:ascii="Times New Roman" w:hAnsi="Times New Roman" w:eastAsia="宋体" w:cs="宋体"/>
          <w:color w:val="000000"/>
          <w:kern w:val="0"/>
          <w:sz w:val="24"/>
          <w:szCs w:val="24"/>
          <w:highlight w:val="none"/>
          <w:lang w:val="en-US" w:eastAsia="zh-CN" w:bidi="ar"/>
        </w:rPr>
        <w:t>8.您下次是否愿意积极配合项目实施</w:t>
      </w:r>
      <w:r>
        <w:rPr>
          <w:rFonts w:hint="eastAsia" w:ascii="Times New Roman" w:hAnsi="Times New Roman" w:eastAsia="宋体" w:cs="宋体"/>
          <w:kern w:val="2"/>
          <w:sz w:val="24"/>
          <w:szCs w:val="24"/>
          <w:highlight w:val="none"/>
          <w:lang w:val="en-US" w:eastAsia="zh-CN" w:bidi="ar-SA"/>
        </w:rPr>
        <w:t>（ ）</w:t>
      </w:r>
    </w:p>
    <w:p w14:paraId="0048D9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480" w:firstLineChars="200"/>
        <w:jc w:val="left"/>
        <w:textAlignment w:val="auto"/>
        <w:outlineLvl w:val="9"/>
        <w:rPr>
          <w:rFonts w:hint="eastAsia" w:ascii="Times New Roman" w:hAnsi="Times New Roman" w:eastAsia="宋体" w:cs="宋体"/>
          <w:bCs/>
          <w:sz w:val="24"/>
          <w:szCs w:val="24"/>
          <w:highlight w:val="none"/>
          <w:lang w:val="en-US" w:eastAsia="zh-CN"/>
        </w:rPr>
      </w:pPr>
      <w:r>
        <w:rPr>
          <w:rFonts w:hint="eastAsia" w:ascii="Times New Roman" w:hAnsi="Times New Roman" w:eastAsia="宋体" w:cs="宋体"/>
          <w:bCs/>
          <w:sz w:val="24"/>
          <w:szCs w:val="24"/>
          <w:highlight w:val="none"/>
          <w:lang w:val="en-US" w:eastAsia="zh-CN"/>
        </w:rPr>
        <w:t>A. 非常愿意     B. 比较愿意     C. 一般     D. 不愿意</w:t>
      </w:r>
    </w:p>
    <w:p w14:paraId="0474BFAA">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Chars="0" w:firstLine="482" w:firstLineChars="200"/>
        <w:jc w:val="left"/>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
          <w:color w:val="000000"/>
          <w:kern w:val="0"/>
          <w:sz w:val="24"/>
          <w:szCs w:val="24"/>
          <w:highlight w:val="none"/>
          <w:lang w:val="en-US" w:eastAsia="zh-CN" w:bidi="ar"/>
        </w:rPr>
        <w:t>三、满意度</w:t>
      </w:r>
    </w:p>
    <w:p w14:paraId="4023B1EE">
      <w:pPr>
        <w:keepNext w:val="0"/>
        <w:keepLines w:val="0"/>
        <w:pageBreakBefore w:val="0"/>
        <w:tabs>
          <w:tab w:val="left" w:pos="2694"/>
        </w:tabs>
        <w:kinsoku/>
        <w:wordWrap/>
        <w:overflowPunct/>
        <w:topLinePunct w:val="0"/>
        <w:autoSpaceDE/>
        <w:autoSpaceDN/>
        <w:bidi w:val="0"/>
        <w:adjustRightInd/>
        <w:snapToGrid/>
        <w:spacing w:line="600" w:lineRule="exact"/>
        <w:ind w:firstLine="480" w:firstLineChars="200"/>
        <w:textAlignment w:val="auto"/>
        <w:outlineLvl w:val="9"/>
        <w:rPr>
          <w:rFonts w:hint="eastAsia"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请根据您的真实感受就以下问题分别做出满意度判断，在对应的方框上</w:t>
      </w:r>
      <w:r>
        <w:rPr>
          <w:rFonts w:hint="eastAsia" w:ascii="Times New Roman" w:hAnsi="Times New Roman" w:eastAsia="宋体" w:cs="宋体"/>
          <w:bCs/>
          <w:sz w:val="24"/>
          <w:szCs w:val="24"/>
          <w:highlight w:val="none"/>
          <w:lang w:eastAsia="zh-CN"/>
        </w:rPr>
        <w:t>打勾</w:t>
      </w:r>
      <w:r>
        <w:rPr>
          <w:rFonts w:hint="eastAsia" w:ascii="Times New Roman" w:hAnsi="Times New Roman" w:eastAsia="宋体" w:cs="宋体"/>
          <w:bCs/>
          <w:sz w:val="24"/>
          <w:szCs w:val="24"/>
          <w:highlight w:val="none"/>
        </w:rPr>
        <w:t>。</w:t>
      </w:r>
    </w:p>
    <w:tbl>
      <w:tblPr>
        <w:tblStyle w:val="13"/>
        <w:tblW w:w="8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3"/>
        <w:gridCol w:w="854"/>
        <w:gridCol w:w="854"/>
        <w:gridCol w:w="854"/>
        <w:gridCol w:w="947"/>
        <w:gridCol w:w="940"/>
      </w:tblGrid>
      <w:tr w14:paraId="10AA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23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F4AF0B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Times New Roman" w:hAnsi="Times New Roman" w:eastAsia="宋体" w:cs="宋体"/>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8B9BF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w:t>
            </w:r>
          </w:p>
          <w:p w14:paraId="392740D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2527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比较</w:t>
            </w:r>
          </w:p>
          <w:p w14:paraId="6E39EA9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85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EEF09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基本</w:t>
            </w:r>
          </w:p>
          <w:p w14:paraId="4D2D042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4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8E8E5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不太</w:t>
            </w:r>
          </w:p>
          <w:p w14:paraId="0CE4BF5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满意</w:t>
            </w:r>
          </w:p>
        </w:tc>
        <w:tc>
          <w:tcPr>
            <w:tcW w:w="94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6638C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Times New Roman" w:hAnsi="Times New Roman" w:eastAsia="宋体" w:cs="宋体"/>
                <w:b/>
                <w:sz w:val="24"/>
                <w:szCs w:val="24"/>
                <w:highlight w:val="none"/>
              </w:rPr>
            </w:pPr>
            <w:r>
              <w:rPr>
                <w:rFonts w:hint="eastAsia" w:ascii="Times New Roman" w:hAnsi="Times New Roman" w:eastAsia="宋体" w:cs="宋体"/>
                <w:b/>
                <w:sz w:val="24"/>
                <w:szCs w:val="24"/>
                <w:highlight w:val="none"/>
              </w:rPr>
              <w:t>非常不满意</w:t>
            </w:r>
          </w:p>
        </w:tc>
      </w:tr>
      <w:tr w14:paraId="5DDF6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395953F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000000"/>
                <w:kern w:val="0"/>
                <w:sz w:val="24"/>
                <w:szCs w:val="24"/>
                <w:highlight w:val="none"/>
                <w:u w:val="none"/>
                <w:lang w:val="en-US" w:eastAsia="zh-CN" w:bidi="ar"/>
              </w:rPr>
              <w:t>1.您对甘肃人大常委会2023年度省人大常委会会议费项目整体工作成效的评价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7D61181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3D22A61A">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DABCB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EF0905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5D86A55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2E707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2EBD19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2.您对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经费使用范围及金额分配的评价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4282335">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382768F">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B4CA97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04DD98F">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377E34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5FF50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6F870F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3.您对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甘肃人大常委会2023年度省人大常委会会议费项目人员职责部署</w:t>
            </w:r>
            <w:r>
              <w:rPr>
                <w:rFonts w:hint="eastAsia" w:ascii="Times New Roman" w:hAnsi="Times New Roman" w:eastAsia="宋体" w:cs="宋体"/>
                <w:i w:val="0"/>
                <w:iCs w:val="0"/>
                <w:color w:val="262626"/>
                <w:kern w:val="0"/>
                <w:sz w:val="24"/>
                <w:szCs w:val="24"/>
                <w:highlight w:val="none"/>
                <w:u w:val="none"/>
                <w:lang w:val="en-US" w:eastAsia="zh-CN" w:bidi="ar"/>
              </w:rPr>
              <w:t>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06EE347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74305D44">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609B62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2800EC7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8F8BDBD">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61E7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0811D1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4.您对</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工作人员配备情况的评价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4E426C2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18404EDE">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69FE9041">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7065265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79A42787">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r w14:paraId="13F4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33" w:type="dxa"/>
            <w:tcBorders>
              <w:top w:val="single" w:color="auto" w:sz="4" w:space="0"/>
              <w:left w:val="single" w:color="auto" w:sz="4" w:space="0"/>
              <w:bottom w:val="single" w:color="auto" w:sz="4" w:space="0"/>
              <w:right w:val="single" w:color="auto" w:sz="4" w:space="0"/>
            </w:tcBorders>
            <w:noWrap w:val="0"/>
            <w:vAlign w:val="center"/>
          </w:tcPr>
          <w:p w14:paraId="79DE4F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i w:val="0"/>
                <w:iCs w:val="0"/>
                <w:color w:val="262626"/>
                <w:kern w:val="0"/>
                <w:sz w:val="24"/>
                <w:szCs w:val="24"/>
                <w:highlight w:val="none"/>
                <w:u w:val="none"/>
                <w:lang w:val="en-US" w:eastAsia="zh-CN" w:bidi="ar"/>
              </w:rPr>
              <w:t>5.您对目前</w:t>
            </w:r>
            <w:r>
              <w:rPr>
                <w:rFonts w:hint="eastAsia" w:ascii="Times New Roman" w:hAnsi="Times New Roman" w:eastAsia="宋体" w:cs="宋体"/>
                <w:i w:val="0"/>
                <w:iCs w:val="0"/>
                <w:color w:val="000000"/>
                <w:kern w:val="0"/>
                <w:sz w:val="24"/>
                <w:szCs w:val="24"/>
                <w:highlight w:val="none"/>
                <w:u w:val="none"/>
                <w:lang w:val="en-US" w:eastAsia="zh-CN" w:bidi="ar"/>
              </w:rPr>
              <w:t>甘肃人大常委会2023年度省人大常委会会议费项目</w:t>
            </w:r>
            <w:r>
              <w:rPr>
                <w:rFonts w:hint="eastAsia" w:ascii="Times New Roman" w:hAnsi="Times New Roman" w:eastAsia="宋体" w:cs="宋体"/>
                <w:i w:val="0"/>
                <w:iCs w:val="0"/>
                <w:color w:val="262626"/>
                <w:kern w:val="0"/>
                <w:sz w:val="24"/>
                <w:szCs w:val="24"/>
                <w:highlight w:val="none"/>
                <w:u w:val="none"/>
                <w:lang w:val="en-US" w:eastAsia="zh-CN" w:bidi="ar"/>
              </w:rPr>
              <w:t>工作环境的评价</w:t>
            </w:r>
          </w:p>
        </w:tc>
        <w:tc>
          <w:tcPr>
            <w:tcW w:w="854" w:type="dxa"/>
            <w:tcBorders>
              <w:top w:val="single" w:color="auto" w:sz="4" w:space="0"/>
              <w:left w:val="single" w:color="auto" w:sz="4" w:space="0"/>
              <w:bottom w:val="single" w:color="auto" w:sz="4" w:space="0"/>
              <w:right w:val="single" w:color="auto" w:sz="4" w:space="0"/>
            </w:tcBorders>
            <w:noWrap w:val="0"/>
            <w:vAlign w:val="center"/>
          </w:tcPr>
          <w:p w14:paraId="569C97E9">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0542384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854" w:type="dxa"/>
            <w:tcBorders>
              <w:top w:val="single" w:color="auto" w:sz="4" w:space="0"/>
              <w:left w:val="single" w:color="auto" w:sz="4" w:space="0"/>
              <w:bottom w:val="single" w:color="auto" w:sz="4" w:space="0"/>
              <w:right w:val="single" w:color="auto" w:sz="4" w:space="0"/>
            </w:tcBorders>
            <w:noWrap w:val="0"/>
            <w:vAlign w:val="center"/>
          </w:tcPr>
          <w:p w14:paraId="4715342B">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4FD1DE5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c>
          <w:tcPr>
            <w:tcW w:w="940" w:type="dxa"/>
            <w:tcBorders>
              <w:top w:val="single" w:color="auto" w:sz="4" w:space="0"/>
              <w:left w:val="single" w:color="auto" w:sz="4" w:space="0"/>
              <w:bottom w:val="single" w:color="auto" w:sz="4" w:space="0"/>
              <w:right w:val="single" w:color="auto" w:sz="4" w:space="0"/>
            </w:tcBorders>
            <w:noWrap w:val="0"/>
            <w:vAlign w:val="center"/>
          </w:tcPr>
          <w:p w14:paraId="15E10C33">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Times New Roman" w:hAnsi="Times New Roman" w:eastAsia="宋体" w:cs="宋体"/>
                <w:b/>
                <w:sz w:val="24"/>
                <w:szCs w:val="24"/>
                <w:highlight w:val="none"/>
              </w:rPr>
            </w:pPr>
          </w:p>
        </w:tc>
      </w:tr>
    </w:tbl>
    <w:p w14:paraId="00E791AC">
      <w:pPr>
        <w:keepNext w:val="0"/>
        <w:keepLines w:val="0"/>
        <w:pageBreakBefore w:val="0"/>
        <w:kinsoku/>
        <w:wordWrap/>
        <w:overflowPunct/>
        <w:topLinePunct w:val="0"/>
        <w:autoSpaceDE/>
        <w:autoSpaceDN/>
        <w:bidi w:val="0"/>
        <w:adjustRightInd/>
        <w:snapToGrid/>
        <w:spacing w:line="600" w:lineRule="exact"/>
        <w:outlineLvl w:val="9"/>
        <w:rPr>
          <w:rFonts w:hint="eastAsia" w:ascii="Times New Roman" w:hAnsi="Times New Roman" w:eastAsia="宋体" w:cs="宋体"/>
          <w:szCs w:val="32"/>
          <w:highlight w:val="yellow"/>
          <w:lang w:val="en-US" w:eastAsia="zh-CN"/>
        </w:rPr>
      </w:pPr>
    </w:p>
    <w:p w14:paraId="22DAE8F4">
      <w:pPr>
        <w:outlineLvl w:val="9"/>
        <w:rPr>
          <w:rFonts w:hint="eastAsia" w:ascii="Times New Roman" w:hAnsi="Times New Roman" w:eastAsia="宋体" w:cs="宋体"/>
          <w:b/>
          <w:bCs/>
          <w:sz w:val="28"/>
          <w:szCs w:val="28"/>
          <w:highlight w:val="yellow"/>
          <w:lang w:val="en-US" w:eastAsia="zh-CN"/>
        </w:rPr>
      </w:pPr>
      <w:r>
        <w:rPr>
          <w:rFonts w:hint="eastAsia" w:ascii="Times New Roman" w:hAnsi="Times New Roman" w:eastAsia="宋体" w:cs="宋体"/>
          <w:b/>
          <w:bCs/>
          <w:sz w:val="28"/>
          <w:szCs w:val="28"/>
          <w:highlight w:val="yellow"/>
          <w:lang w:val="en-US" w:eastAsia="zh-CN"/>
        </w:rPr>
        <w:br w:type="page"/>
      </w:r>
    </w:p>
    <w:p w14:paraId="61C2A8FE">
      <w:pPr>
        <w:keepNext w:val="0"/>
        <w:keepLines w:val="0"/>
        <w:pageBreakBefore w:val="0"/>
        <w:widowControl w:val="0"/>
        <w:tabs>
          <w:tab w:val="left" w:pos="1151"/>
        </w:tabs>
        <w:kinsoku/>
        <w:wordWrap/>
        <w:overflowPunct/>
        <w:topLinePunct w:val="0"/>
        <w:autoSpaceDE/>
        <w:autoSpaceDN/>
        <w:bidi w:val="0"/>
        <w:adjustRightInd/>
        <w:snapToGrid/>
        <w:spacing w:line="600" w:lineRule="exact"/>
        <w:ind w:firstLine="0" w:firstLineChars="0"/>
        <w:textAlignment w:val="auto"/>
        <w:outlineLvl w:val="1"/>
        <w:rPr>
          <w:rFonts w:hint="eastAsia" w:ascii="Times New Roman" w:hAnsi="Times New Roman" w:eastAsia="宋体" w:cs="宋体"/>
          <w:b/>
          <w:bCs/>
          <w:sz w:val="28"/>
          <w:szCs w:val="28"/>
          <w:highlight w:val="none"/>
          <w:lang w:val="en-US" w:eastAsia="zh-CN"/>
        </w:rPr>
      </w:pPr>
      <w:bookmarkStart w:id="144" w:name="_Toc14273"/>
      <w:bookmarkStart w:id="145" w:name="_Toc16419"/>
      <w:bookmarkStart w:id="146" w:name="_Toc28942"/>
      <w:bookmarkStart w:id="147" w:name="_Toc6322"/>
      <w:r>
        <w:rPr>
          <w:rFonts w:hint="eastAsia" w:ascii="Times New Roman" w:hAnsi="Times New Roman" w:eastAsia="宋体" w:cs="宋体"/>
          <w:b/>
          <w:bCs/>
          <w:sz w:val="28"/>
          <w:szCs w:val="28"/>
          <w:highlight w:val="none"/>
          <w:lang w:val="en-US" w:eastAsia="zh-CN"/>
        </w:rPr>
        <w:t>（三）访谈报告</w:t>
      </w:r>
      <w:bookmarkEnd w:id="144"/>
      <w:bookmarkEnd w:id="145"/>
      <w:bookmarkEnd w:id="146"/>
      <w:bookmarkEnd w:id="147"/>
    </w:p>
    <w:p w14:paraId="6FB4F72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宋体" w:cs="宋体"/>
          <w:b/>
          <w:bCs/>
          <w:sz w:val="30"/>
          <w:szCs w:val="30"/>
          <w:highlight w:val="none"/>
          <w:lang w:val="en-US" w:eastAsia="zh-CN"/>
        </w:rPr>
      </w:pPr>
      <w:r>
        <w:rPr>
          <w:rFonts w:hint="eastAsia" w:ascii="Times New Roman" w:hAnsi="Times New Roman" w:eastAsia="宋体" w:cs="宋体"/>
          <w:b/>
          <w:bCs/>
          <w:sz w:val="30"/>
          <w:szCs w:val="30"/>
          <w:highlight w:val="none"/>
          <w:lang w:val="en-US" w:eastAsia="zh-CN"/>
        </w:rPr>
        <w:t>甘肃省人民代表大会常务委员会2023年度省人大常委会会议费项目绩效评价访谈报告</w:t>
      </w:r>
    </w:p>
    <w:p w14:paraId="613EE56D">
      <w:pPr>
        <w:pStyle w:val="5"/>
        <w:outlineLvl w:val="9"/>
        <w:rPr>
          <w:rFonts w:hint="eastAsia" w:ascii="Times New Roman" w:hAnsi="Times New Roman" w:eastAsia="宋体" w:cs="宋体"/>
          <w:b/>
          <w:bCs/>
          <w:lang w:val="en-US" w:eastAsia="zh-CN"/>
        </w:rPr>
      </w:pPr>
    </w:p>
    <w:p w14:paraId="1E39E825">
      <w:pPr>
        <w:keepNext w:val="0"/>
        <w:keepLines w:val="0"/>
        <w:pageBreakBefore w:val="0"/>
        <w:widowControl w:val="0"/>
        <w:kinsoku/>
        <w:wordWrap/>
        <w:overflowPunct/>
        <w:topLinePunct w:val="0"/>
        <w:autoSpaceDE/>
        <w:autoSpaceDN/>
        <w:bidi w:val="0"/>
        <w:adjustRightInd/>
        <w:snapToGrid/>
        <w:spacing w:line="600" w:lineRule="exact"/>
        <w:ind w:left="0" w:firstLine="562" w:firstLineChars="200"/>
        <w:textAlignment w:val="auto"/>
        <w:outlineLvl w:val="9"/>
        <w:rPr>
          <w:rFonts w:hint="eastAsia" w:ascii="Times New Roman" w:hAnsi="Times New Roman" w:eastAsia="宋体" w:cs="宋体"/>
          <w:b/>
          <w:bCs/>
          <w:sz w:val="28"/>
          <w:szCs w:val="28"/>
          <w:highlight w:val="none"/>
          <w:lang w:val="en-US" w:eastAsia="zh-CN"/>
        </w:rPr>
      </w:pPr>
      <w:r>
        <w:rPr>
          <w:rFonts w:hint="eastAsia" w:ascii="Times New Roman" w:hAnsi="Times New Roman" w:eastAsia="宋体" w:cs="宋体"/>
          <w:b/>
          <w:bCs/>
          <w:sz w:val="28"/>
          <w:szCs w:val="28"/>
          <w:highlight w:val="none"/>
          <w:lang w:val="en-US" w:eastAsia="zh-CN"/>
        </w:rPr>
        <w:t>一、访谈背景</w:t>
      </w:r>
    </w:p>
    <w:p w14:paraId="11A5AE2D">
      <w:pPr>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kern w:val="0"/>
          <w:sz w:val="28"/>
          <w:szCs w:val="28"/>
          <w:highlight w:val="none"/>
          <w:lang w:bidi="en-US"/>
        </w:rPr>
      </w:pPr>
      <w:bookmarkStart w:id="148" w:name="_Toc396583964"/>
      <w:bookmarkStart w:id="149" w:name="_Toc371514353"/>
      <w:bookmarkStart w:id="150" w:name="_Toc372209661"/>
      <w:bookmarkStart w:id="151" w:name="_Toc359794009"/>
      <w:bookmarkStart w:id="152" w:name="_Toc362270847"/>
      <w:bookmarkStart w:id="153" w:name="_Toc361645473"/>
      <w:bookmarkStart w:id="154" w:name="_Toc372190180"/>
      <w:bookmarkStart w:id="155" w:name="_Toc359847130"/>
      <w:bookmarkStart w:id="156" w:name="_Toc396584094"/>
      <w:r>
        <w:rPr>
          <w:rFonts w:hint="eastAsia" w:ascii="Times New Roman" w:hAnsi="Times New Roman" w:eastAsia="宋体" w:cs="宋体"/>
          <w:b/>
          <w:kern w:val="0"/>
          <w:sz w:val="28"/>
          <w:szCs w:val="28"/>
          <w:highlight w:val="none"/>
          <w:lang w:bidi="en-US"/>
        </w:rPr>
        <w:t>（一</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访谈目的</w:t>
      </w:r>
      <w:bookmarkEnd w:id="148"/>
      <w:bookmarkEnd w:id="149"/>
      <w:bookmarkEnd w:id="150"/>
      <w:bookmarkEnd w:id="151"/>
      <w:bookmarkEnd w:id="152"/>
      <w:bookmarkEnd w:id="153"/>
      <w:bookmarkEnd w:id="154"/>
      <w:bookmarkEnd w:id="155"/>
      <w:bookmarkEnd w:id="156"/>
    </w:p>
    <w:p w14:paraId="61314D43">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9"/>
        <w:rPr>
          <w:rFonts w:hint="eastAsia" w:ascii="Times New Roman" w:hAnsi="Times New Roman" w:eastAsia="宋体" w:cs="宋体"/>
          <w:sz w:val="28"/>
          <w:szCs w:val="28"/>
          <w:highlight w:val="none"/>
          <w:lang w:val="en-US" w:eastAsia="zh-CN"/>
        </w:rPr>
      </w:pPr>
      <w:bookmarkStart w:id="157" w:name="_Toc361645474"/>
      <w:bookmarkStart w:id="158" w:name="_Toc362270848"/>
      <w:bookmarkStart w:id="159" w:name="_Toc359847131"/>
      <w:bookmarkStart w:id="160" w:name="_Toc359794010"/>
      <w:r>
        <w:rPr>
          <w:rFonts w:hint="eastAsia" w:ascii="Times New Roman" w:hAnsi="Times New Roman" w:eastAsia="宋体" w:cs="宋体"/>
          <w:sz w:val="28"/>
          <w:szCs w:val="28"/>
          <w:highlight w:val="none"/>
          <w:lang w:val="en-US" w:eastAsia="zh-CN"/>
        </w:rPr>
        <w:t>为进一步了解甘肃省人民代表大会常务委员会2023年度省人大常委会会议费项目决策、项目过程、项目产出和项目效果，为后续项目报告提供支撑，评价组选取甘肃省人民代表大会常务委员会财务部门主要负责人及甘肃省人民代表大会常务委员会2023年度省人大常委会会议费项目主要负责人开展访谈，了解甘肃省人民代表大会常务委员会2023年度省人大常委会会议费项目的基本情况。</w:t>
      </w:r>
    </w:p>
    <w:bookmarkEnd w:id="157"/>
    <w:bookmarkEnd w:id="158"/>
    <w:bookmarkEnd w:id="159"/>
    <w:bookmarkEnd w:id="160"/>
    <w:p w14:paraId="571F32FD">
      <w:pPr>
        <w:keepNext w:val="0"/>
        <w:keepLines w:val="0"/>
        <w:pageBreakBefore w:val="0"/>
        <w:widowControl/>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kern w:val="0"/>
          <w:sz w:val="28"/>
          <w:szCs w:val="28"/>
          <w:highlight w:val="none"/>
          <w:lang w:bidi="en-US"/>
        </w:rPr>
      </w:pPr>
      <w:bookmarkStart w:id="161" w:name="_Toc372190181"/>
      <w:bookmarkStart w:id="162" w:name="_Toc396583965"/>
      <w:bookmarkStart w:id="163" w:name="_Toc396584095"/>
      <w:bookmarkStart w:id="164" w:name="_Toc372209662"/>
      <w:bookmarkStart w:id="165" w:name="_Toc371514354"/>
      <w:r>
        <w:rPr>
          <w:rFonts w:hint="eastAsia" w:ascii="Times New Roman" w:hAnsi="Times New Roman" w:eastAsia="宋体" w:cs="宋体"/>
          <w:b/>
          <w:kern w:val="0"/>
          <w:sz w:val="28"/>
          <w:szCs w:val="28"/>
          <w:highlight w:val="none"/>
          <w:lang w:bidi="en-US"/>
        </w:rPr>
        <w:t>（二</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访谈对象和访谈内容</w:t>
      </w:r>
      <w:bookmarkEnd w:id="161"/>
      <w:bookmarkEnd w:id="162"/>
      <w:bookmarkEnd w:id="163"/>
      <w:bookmarkEnd w:id="164"/>
      <w:bookmarkEnd w:id="165"/>
    </w:p>
    <w:p w14:paraId="091BA294">
      <w:pPr>
        <w:keepNext w:val="0"/>
        <w:keepLines w:val="0"/>
        <w:pageBreakBefore w:val="0"/>
        <w:kinsoku/>
        <w:wordWrap/>
        <w:overflowPunct/>
        <w:topLinePunct w:val="0"/>
        <w:autoSpaceDE/>
        <w:autoSpaceDN/>
        <w:bidi w:val="0"/>
        <w:adjustRightInd/>
        <w:snapToGrid/>
        <w:spacing w:line="600" w:lineRule="exact"/>
        <w:ind w:firstLine="562" w:firstLineChars="200"/>
        <w:textAlignment w:val="auto"/>
        <w:outlineLvl w:val="9"/>
        <w:rPr>
          <w:rFonts w:hint="eastAsia" w:ascii="Times New Roman" w:hAnsi="Times New Roman" w:eastAsia="宋体" w:cs="宋体"/>
          <w:b/>
          <w:bCs/>
          <w:sz w:val="28"/>
          <w:szCs w:val="28"/>
          <w:highlight w:val="none"/>
        </w:rPr>
      </w:pPr>
      <w:bookmarkStart w:id="166" w:name="_Toc298714049"/>
      <w:bookmarkStart w:id="167" w:name="_Toc298037425"/>
      <w:r>
        <w:rPr>
          <w:rFonts w:hint="eastAsia" w:ascii="Times New Roman" w:hAnsi="Times New Roman" w:eastAsia="宋体" w:cs="宋体"/>
          <w:b/>
          <w:bCs/>
          <w:sz w:val="28"/>
          <w:szCs w:val="28"/>
          <w:highlight w:val="none"/>
        </w:rPr>
        <w:t>1</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rPr>
        <w:t>访谈对象</w:t>
      </w:r>
      <w:bookmarkEnd w:id="166"/>
      <w:bookmarkEnd w:id="167"/>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5955"/>
        <w:gridCol w:w="1792"/>
      </w:tblGrid>
      <w:tr w14:paraId="26B05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shd w:val="clear" w:color="000000" w:fill="auto"/>
            <w:noWrap/>
            <w:vAlign w:val="center"/>
          </w:tcPr>
          <w:p w14:paraId="02FEA445">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序号</w:t>
            </w:r>
          </w:p>
        </w:tc>
        <w:tc>
          <w:tcPr>
            <w:tcW w:w="3493" w:type="pct"/>
            <w:shd w:val="clear" w:color="000000" w:fill="auto"/>
            <w:noWrap/>
            <w:vAlign w:val="center"/>
          </w:tcPr>
          <w:p w14:paraId="71BBFCDF">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访谈单位</w:t>
            </w:r>
          </w:p>
        </w:tc>
        <w:tc>
          <w:tcPr>
            <w:tcW w:w="1051" w:type="pct"/>
            <w:shd w:val="clear" w:color="000000" w:fill="auto"/>
            <w:noWrap/>
            <w:vAlign w:val="center"/>
          </w:tcPr>
          <w:p w14:paraId="372669A4">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b/>
                <w:bCs/>
                <w:color w:val="000000"/>
                <w:kern w:val="0"/>
                <w:sz w:val="24"/>
                <w:szCs w:val="24"/>
                <w:highlight w:val="none"/>
              </w:rPr>
            </w:pPr>
            <w:r>
              <w:rPr>
                <w:rFonts w:hint="eastAsia" w:ascii="Times New Roman" w:hAnsi="Times New Roman" w:eastAsia="宋体" w:cs="宋体"/>
                <w:b/>
                <w:bCs/>
                <w:color w:val="000000"/>
                <w:kern w:val="0"/>
                <w:sz w:val="24"/>
                <w:szCs w:val="24"/>
                <w:highlight w:val="none"/>
              </w:rPr>
              <w:t>访谈对象</w:t>
            </w:r>
          </w:p>
        </w:tc>
      </w:tr>
      <w:tr w14:paraId="4D3A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noWrap/>
            <w:vAlign w:val="center"/>
          </w:tcPr>
          <w:p w14:paraId="54E8389A">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1</w:t>
            </w:r>
          </w:p>
        </w:tc>
        <w:tc>
          <w:tcPr>
            <w:tcW w:w="3493" w:type="pct"/>
            <w:noWrap/>
            <w:vAlign w:val="center"/>
          </w:tcPr>
          <w:p w14:paraId="7822106E">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甘肃省人民代表大会常务委员会财务部门</w:t>
            </w:r>
          </w:p>
        </w:tc>
        <w:tc>
          <w:tcPr>
            <w:tcW w:w="1051" w:type="pct"/>
            <w:noWrap/>
            <w:vAlign w:val="center"/>
          </w:tcPr>
          <w:p w14:paraId="04EC2E47">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lang w:val="en-US" w:eastAsia="zh-CN"/>
              </w:rPr>
              <w:t>主要</w:t>
            </w:r>
            <w:r>
              <w:rPr>
                <w:rFonts w:hint="eastAsia" w:ascii="Times New Roman" w:hAnsi="Times New Roman" w:eastAsia="宋体" w:cs="宋体"/>
                <w:color w:val="000000"/>
                <w:kern w:val="0"/>
                <w:sz w:val="24"/>
                <w:szCs w:val="24"/>
                <w:highlight w:val="none"/>
              </w:rPr>
              <w:t>负责人</w:t>
            </w:r>
          </w:p>
        </w:tc>
      </w:tr>
      <w:tr w14:paraId="274C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4" w:type="pct"/>
            <w:noWrap/>
            <w:vAlign w:val="center"/>
          </w:tcPr>
          <w:p w14:paraId="0156FF18">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2</w:t>
            </w:r>
          </w:p>
        </w:tc>
        <w:tc>
          <w:tcPr>
            <w:tcW w:w="3493" w:type="pct"/>
            <w:noWrap/>
            <w:vAlign w:val="center"/>
          </w:tcPr>
          <w:p w14:paraId="4B9B3D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甘肃省人民代表大会常务委员会2023年度省人大常委会会议费项目</w:t>
            </w:r>
          </w:p>
        </w:tc>
        <w:tc>
          <w:tcPr>
            <w:tcW w:w="1051" w:type="pct"/>
            <w:noWrap/>
            <w:vAlign w:val="center"/>
          </w:tcPr>
          <w:p w14:paraId="24C3884D">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lang w:val="en-US" w:eastAsia="zh-CN"/>
              </w:rPr>
              <w:t>主要</w:t>
            </w:r>
            <w:r>
              <w:rPr>
                <w:rFonts w:hint="eastAsia" w:ascii="Times New Roman" w:hAnsi="Times New Roman" w:eastAsia="宋体" w:cs="宋体"/>
                <w:color w:val="000000"/>
                <w:kern w:val="0"/>
                <w:sz w:val="24"/>
                <w:szCs w:val="24"/>
                <w:highlight w:val="none"/>
              </w:rPr>
              <w:t>负责人</w:t>
            </w:r>
          </w:p>
        </w:tc>
      </w:tr>
    </w:tbl>
    <w:p w14:paraId="6F9C0A03">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bCs/>
          <w:sz w:val="28"/>
          <w:szCs w:val="28"/>
          <w:highlight w:val="none"/>
        </w:rPr>
      </w:pPr>
      <w:r>
        <w:rPr>
          <w:rFonts w:hint="eastAsia" w:ascii="Times New Roman" w:hAnsi="Times New Roman" w:eastAsia="宋体" w:cs="宋体"/>
          <w:b/>
          <w:bCs/>
          <w:sz w:val="28"/>
          <w:szCs w:val="28"/>
          <w:highlight w:val="none"/>
        </w:rPr>
        <w:t>2</w:t>
      </w:r>
      <w:r>
        <w:rPr>
          <w:rFonts w:hint="eastAsia" w:ascii="Times New Roman" w:hAnsi="Times New Roman" w:eastAsia="宋体" w:cs="宋体"/>
          <w:b/>
          <w:bCs/>
          <w:sz w:val="28"/>
          <w:szCs w:val="28"/>
          <w:highlight w:val="none"/>
          <w:lang w:eastAsia="zh-CN"/>
        </w:rPr>
        <w:t>、</w:t>
      </w:r>
      <w:r>
        <w:rPr>
          <w:rFonts w:hint="eastAsia" w:ascii="Times New Roman" w:hAnsi="Times New Roman" w:eastAsia="宋体" w:cs="宋体"/>
          <w:b/>
          <w:bCs/>
          <w:sz w:val="28"/>
          <w:szCs w:val="28"/>
          <w:highlight w:val="none"/>
        </w:rPr>
        <w:t>访谈内容</w:t>
      </w:r>
    </w:p>
    <w:p w14:paraId="0F5CD034">
      <w:pPr>
        <w:keepNext w:val="0"/>
        <w:keepLines w:val="0"/>
        <w:pageBreakBefore w:val="0"/>
        <w:widowControl w:val="0"/>
        <w:tabs>
          <w:tab w:val="left" w:pos="6237"/>
        </w:tabs>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sz w:val="28"/>
          <w:szCs w:val="28"/>
          <w:highlight w:val="none"/>
        </w:rPr>
      </w:pPr>
      <w:r>
        <w:rPr>
          <w:rFonts w:hint="eastAsia" w:ascii="Times New Roman" w:hAnsi="Times New Roman" w:eastAsia="宋体" w:cs="宋体"/>
          <w:b/>
          <w:bCs/>
          <w:sz w:val="28"/>
          <w:szCs w:val="28"/>
          <w:highlight w:val="none"/>
        </w:rPr>
        <w:t>（</w:t>
      </w:r>
      <w:r>
        <w:rPr>
          <w:rFonts w:hint="eastAsia" w:ascii="Times New Roman" w:hAnsi="Times New Roman" w:eastAsia="宋体" w:cs="宋体"/>
          <w:b/>
          <w:bCs/>
          <w:sz w:val="28"/>
          <w:szCs w:val="28"/>
          <w:highlight w:val="none"/>
          <w:lang w:val="en-US" w:eastAsia="zh-CN"/>
        </w:rPr>
        <w:t>1）甘肃省人民代表大会常务委员会财务部门主要负责人：</w:t>
      </w:r>
      <w:r>
        <w:rPr>
          <w:rFonts w:hint="eastAsia" w:ascii="Times New Roman" w:hAnsi="Times New Roman" w:eastAsia="宋体" w:cs="宋体"/>
          <w:sz w:val="28"/>
          <w:szCs w:val="28"/>
          <w:highlight w:val="none"/>
          <w:lang w:val="en-US" w:eastAsia="zh-CN"/>
        </w:rPr>
        <w:t>了解甘肃省人民代表大会常务委员会单位职责；预算绩效管理工作的情况；甘肃省人民代表大会常务委员会2023年度省人大常委会会议费项目预算资金</w:t>
      </w:r>
      <w:r>
        <w:rPr>
          <w:rFonts w:hint="eastAsia" w:ascii="Times New Roman" w:hAnsi="Times New Roman" w:eastAsia="宋体" w:cs="宋体"/>
          <w:sz w:val="28"/>
          <w:szCs w:val="28"/>
          <w:highlight w:val="none"/>
        </w:rPr>
        <w:t>情况</w:t>
      </w:r>
      <w:r>
        <w:rPr>
          <w:rFonts w:hint="eastAsia" w:ascii="Times New Roman" w:hAnsi="Times New Roman" w:eastAsia="宋体" w:cs="宋体"/>
          <w:sz w:val="28"/>
          <w:szCs w:val="28"/>
          <w:highlight w:val="none"/>
          <w:lang w:eastAsia="zh-CN"/>
        </w:rPr>
        <w:t>；</w:t>
      </w:r>
      <w:r>
        <w:rPr>
          <w:rFonts w:hint="eastAsia" w:ascii="Times New Roman" w:hAnsi="Times New Roman" w:eastAsia="宋体" w:cs="宋体"/>
          <w:sz w:val="28"/>
          <w:szCs w:val="28"/>
          <w:highlight w:val="none"/>
          <w:lang w:val="en-US" w:eastAsia="zh-CN"/>
        </w:rPr>
        <w:t>甘肃省人民代表大会常务委员会2023年度省人大常委会会议费项目财务监督检查情况；项目</w:t>
      </w:r>
      <w:r>
        <w:rPr>
          <w:rFonts w:hint="eastAsia" w:ascii="Times New Roman" w:hAnsi="Times New Roman" w:eastAsia="宋体" w:cs="宋体"/>
          <w:sz w:val="28"/>
          <w:szCs w:val="28"/>
          <w:highlight w:val="none"/>
        </w:rPr>
        <w:t>运行过程中存在的困难及原因。</w:t>
      </w:r>
    </w:p>
    <w:p w14:paraId="33FDAED0">
      <w:pPr>
        <w:pStyle w:val="4"/>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b/>
          <w:bCs/>
          <w:sz w:val="28"/>
          <w:szCs w:val="28"/>
          <w:highlight w:val="none"/>
        </w:rPr>
        <w:t>（2</w:t>
      </w:r>
      <w:r>
        <w:rPr>
          <w:rFonts w:hint="eastAsia" w:ascii="Times New Roman" w:hAnsi="Times New Roman" w:eastAsia="宋体" w:cs="宋体"/>
          <w:b/>
          <w:bCs/>
          <w:sz w:val="28"/>
          <w:szCs w:val="28"/>
          <w:highlight w:val="none"/>
          <w:lang w:val="en-US" w:eastAsia="zh-CN"/>
        </w:rPr>
        <w:t>）甘肃省人民代表大会常务委员会2023年度省人大常委会会议费项目主要负责人</w:t>
      </w:r>
      <w:r>
        <w:rPr>
          <w:rFonts w:hint="eastAsia" w:ascii="Times New Roman" w:hAnsi="Times New Roman" w:eastAsia="宋体" w:cs="宋体"/>
          <w:b/>
          <w:bCs/>
          <w:sz w:val="28"/>
          <w:szCs w:val="28"/>
          <w:highlight w:val="none"/>
        </w:rPr>
        <w:t>：</w:t>
      </w:r>
      <w:r>
        <w:rPr>
          <w:rFonts w:hint="eastAsia" w:ascii="Times New Roman" w:hAnsi="Times New Roman" w:eastAsia="宋体" w:cs="宋体"/>
          <w:sz w:val="28"/>
          <w:szCs w:val="28"/>
          <w:highlight w:val="none"/>
        </w:rPr>
        <w:t>了解</w:t>
      </w:r>
      <w:r>
        <w:rPr>
          <w:rFonts w:hint="eastAsia" w:ascii="Times New Roman" w:hAnsi="Times New Roman" w:eastAsia="宋体" w:cs="宋体"/>
          <w:sz w:val="28"/>
          <w:szCs w:val="28"/>
          <w:highlight w:val="none"/>
          <w:lang w:val="en-US" w:eastAsia="zh-CN"/>
        </w:rPr>
        <w:t>省人大常委会2023年度省人大常委会会议费项目进程；项目具体安排部署；项目资金使用情况；人大代表及工作人员反馈情况；项目运行过程中存在的困难及原因。</w:t>
      </w:r>
    </w:p>
    <w:p w14:paraId="7742DFB5">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bCs w:val="0"/>
          <w:kern w:val="0"/>
          <w:sz w:val="28"/>
          <w:szCs w:val="28"/>
          <w:highlight w:val="none"/>
          <w:lang w:bidi="en-US"/>
        </w:rPr>
      </w:pPr>
      <w:r>
        <w:rPr>
          <w:rFonts w:hint="eastAsia" w:ascii="Times New Roman" w:hAnsi="Times New Roman" w:eastAsia="宋体" w:cs="宋体"/>
          <w:b/>
          <w:bCs w:val="0"/>
          <w:kern w:val="0"/>
          <w:sz w:val="28"/>
          <w:szCs w:val="28"/>
          <w:highlight w:val="none"/>
          <w:lang w:bidi="en-US"/>
        </w:rPr>
        <w:t>二、访谈分析</w:t>
      </w:r>
    </w:p>
    <w:p w14:paraId="067A8F2C">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bidi="en-US"/>
        </w:rPr>
        <w:t>（一</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val="en-US" w:eastAsia="zh-CN" w:bidi="en-US"/>
        </w:rPr>
        <w:t>单位基本情况</w:t>
      </w:r>
    </w:p>
    <w:p w14:paraId="14CED8EC">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2" w:firstLineChars="200"/>
        <w:jc w:val="both"/>
        <w:textAlignment w:val="auto"/>
        <w:outlineLvl w:val="9"/>
        <w:rPr>
          <w:rFonts w:hint="eastAsia" w:ascii="Times New Roman" w:hAnsi="Times New Roman" w:eastAsia="宋体" w:cs="宋体"/>
          <w:b/>
          <w:bCs/>
          <w:kern w:val="2"/>
          <w:sz w:val="28"/>
          <w:szCs w:val="28"/>
          <w:highlight w:val="none"/>
          <w:lang w:val="en-US" w:eastAsia="zh-CN" w:bidi="ar-SA"/>
        </w:rPr>
      </w:pPr>
      <w:r>
        <w:rPr>
          <w:rFonts w:hint="eastAsia" w:ascii="Times New Roman" w:hAnsi="Times New Roman" w:eastAsia="宋体" w:cs="宋体"/>
          <w:b/>
          <w:bCs/>
          <w:sz w:val="28"/>
          <w:szCs w:val="28"/>
          <w:highlight w:val="none"/>
          <w:lang w:val="en-US" w:eastAsia="zh-CN"/>
        </w:rPr>
        <w:t>甘肃省人民代表大会常务委员会</w:t>
      </w:r>
      <w:r>
        <w:rPr>
          <w:rFonts w:hint="eastAsia" w:ascii="Times New Roman" w:hAnsi="Times New Roman" w:eastAsia="宋体" w:cs="宋体"/>
          <w:b/>
          <w:bCs/>
          <w:kern w:val="2"/>
          <w:sz w:val="28"/>
          <w:szCs w:val="28"/>
          <w:highlight w:val="none"/>
          <w:lang w:val="en-US" w:eastAsia="zh-CN" w:bidi="ar-SA"/>
        </w:rPr>
        <w:t>主要职责是：</w:t>
      </w:r>
    </w:p>
    <w:p w14:paraId="4B8BE8E0">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甘肃省人民代表大会常务委员会行使下列职权：在本省行政区域内，保证宪法、法律、行政法规和全国人民代表大会及其常务委员会决议的遵守和执行；领导或者主持省人民代表大会代表的选举；召集省人民代表大会会议；根据本省行政区域的具体情况和实际需要，在不同宪法、法律、行政法规相抵触的前提下，可以制定和颁布地方性法规，报全国人民代表大会常务委员会和国务院备案；讨论、决定本省行政区域内的政治、经济、教育、科学、文化、卫生、环境和资源保护、民政、民族等工作的重大事项；根据省人民政府的建议，决定对本省行政区域内的国民经济和社会发展计划、预算的部分变更；监督省人民政府、省监察委员会、省高级人民法院和省人民检察院的工作，联系省人民代表大会代表，受理人民群众对上述机关和国家工作人员的申诉和意见；撤销下一级人民代表大会及其常务委员会的不适当的决议；撤销省人民政府的不适当的决定和命令；在省人民代表大会闭会期间，决定副省长的个别任免；在省长、省高级人民法院院长、省人民检察院检察长因故不能担任职务的时候，从省人民政府、省高级人民法院、省人民检察院副职领导人员中决定代理的人选；决定省人民检察院代理检察长，须报最高人民检察院和全国人民代表大会常务委员会备案；根据省长的提名，决定省人民政府秘书长、厅长、委员会主任的任免；按照有关法律规定，任免省监察委员会副主任、委员，任免省高级人民法院副院长、庭长、副庭长、审判委员会委员、审判员，任免省人民检察院副检察长、检察委员会委员、检察员，批准任免下一级人民检察院检察长；根据省人民检察院检察长的提名，决定人民检察院分院检察长的任免；在省人民代表大会闭会期间，决定撤销个别副省长的职务；决定撤销任命的省人民政府其他组成人员和省高级人民法院副院长、庭长、副庭长、审判委员会委员、审判员，省人民检察院副检察长、检察委员会委员、检察员职务；在省人民代表大会闭会期间，补选全国人民代表大会出缺的代表和罢免个别代表；决定授予地方的荣誉称号。</w:t>
      </w:r>
    </w:p>
    <w:p w14:paraId="67026B51">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（二</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预算绩效管理工作的情况</w:t>
      </w:r>
    </w:p>
    <w:p w14:paraId="0B1A0F67">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为提高政府资金使用效益，做到“花钱必问效，无效必问责”，甘肃省人民代表大会常务委员会全面实施预算支出绩效评价管理。根据</w:t>
      </w:r>
      <w:r>
        <w:rPr>
          <w:rFonts w:hint="eastAsia" w:ascii="Times New Roman" w:hAnsi="Times New Roman" w:eastAsia="宋体" w:cs="宋体"/>
          <w:kern w:val="0"/>
          <w:sz w:val="28"/>
          <w:szCs w:val="28"/>
          <w:highlight w:val="none"/>
          <w:lang w:val="en-US" w:eastAsia="zh-CN"/>
        </w:rPr>
        <w:t>《中共甘肃省委甘肃省人民政府关于全面实施预算绩效管理的实施意见</w:t>
      </w:r>
      <w:r>
        <w:rPr>
          <w:rFonts w:hint="eastAsia" w:ascii="Times New Roman" w:hAnsi="Times New Roman" w:eastAsia="宋体" w:cs="宋体"/>
          <w:sz w:val="28"/>
          <w:szCs w:val="28"/>
          <w:highlight w:val="none"/>
          <w:lang w:val="en-US" w:eastAsia="zh-CN"/>
        </w:rPr>
        <w:t>》（</w:t>
      </w:r>
      <w:r>
        <w:rPr>
          <w:rFonts w:hint="eastAsia" w:ascii="Times New Roman" w:hAnsi="Times New Roman" w:eastAsia="宋体" w:cs="宋体"/>
          <w:kern w:val="0"/>
          <w:sz w:val="28"/>
          <w:szCs w:val="28"/>
          <w:highlight w:val="none"/>
          <w:lang w:val="en-US" w:eastAsia="zh-CN"/>
        </w:rPr>
        <w:t>甘发〔2018〕32号）、《财政部关于印发〈项目支出绩效评价管理办法〉的通知》（财预〔2020〕10号）、《甘肃省财政厅关于印发〈甘肃省省级预算绩效管理办法〉等6个办法和规程的通知》（甘财绩〔2020〕5号）</w:t>
      </w:r>
      <w:r>
        <w:rPr>
          <w:rFonts w:hint="eastAsia" w:ascii="Times New Roman" w:hAnsi="Times New Roman" w:eastAsia="宋体" w:cs="宋体"/>
          <w:sz w:val="28"/>
          <w:szCs w:val="28"/>
          <w:highlight w:val="none"/>
          <w:lang w:val="en-US" w:eastAsia="zh-CN"/>
        </w:rPr>
        <w:t>，</w:t>
      </w:r>
      <w:r>
        <w:rPr>
          <w:rFonts w:hint="eastAsia" w:ascii="Times New Roman" w:hAnsi="Times New Roman" w:eastAsia="宋体" w:cs="宋体"/>
          <w:kern w:val="2"/>
          <w:sz w:val="28"/>
          <w:szCs w:val="28"/>
          <w:highlight w:val="none"/>
          <w:lang w:val="en-US" w:eastAsia="zh-CN" w:bidi="ar-SA"/>
        </w:rPr>
        <w:t>甘肃省人民代表大会常务委员会为深入贯彻落实全面实施绩效管理的决策部署，积极探索，精准聚焦，总结形成一套预算绩效管理机制流程，切实提高预算资金使用效益，力促预算绩效管理工作再上新台阶。具体措施有：完善预算绩效管理制度、规范预算资金绩效管理流程、开展预算支出绩效评价等。</w:t>
      </w:r>
    </w:p>
    <w:p w14:paraId="01911D0A">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（三</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项目预算资金编制</w:t>
      </w:r>
      <w:r>
        <w:rPr>
          <w:rFonts w:hint="eastAsia" w:ascii="Times New Roman" w:hAnsi="Times New Roman" w:eastAsia="宋体" w:cs="宋体"/>
          <w:b/>
          <w:kern w:val="0"/>
          <w:sz w:val="28"/>
          <w:szCs w:val="28"/>
          <w:highlight w:val="none"/>
          <w:lang w:val="en-US" w:eastAsia="zh-CN" w:bidi="en-US"/>
        </w:rPr>
        <w:t>及发放</w:t>
      </w:r>
      <w:r>
        <w:rPr>
          <w:rFonts w:hint="eastAsia" w:ascii="Times New Roman" w:hAnsi="Times New Roman" w:eastAsia="宋体" w:cs="宋体"/>
          <w:b/>
          <w:kern w:val="0"/>
          <w:sz w:val="28"/>
          <w:szCs w:val="28"/>
          <w:highlight w:val="none"/>
          <w:lang w:bidi="en-US"/>
        </w:rPr>
        <w:t>情况</w:t>
      </w:r>
    </w:p>
    <w:p w14:paraId="03F6047B">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根据甘肃省人民代表大会常务委员会2023年度省人大常委会会议费项目预算编制经过了科学论证；预算内容与项目内容匹配；预算额度测算依据充分，按照标准编制；预算确定的项目资金量与工作任务相匹配。</w:t>
      </w:r>
    </w:p>
    <w:p w14:paraId="13A64064">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w:t>
      </w:r>
      <w:r>
        <w:rPr>
          <w:rFonts w:hint="eastAsia" w:ascii="Times New Roman" w:hAnsi="Times New Roman" w:eastAsia="宋体" w:cs="宋体"/>
          <w:b/>
          <w:kern w:val="0"/>
          <w:sz w:val="28"/>
          <w:szCs w:val="28"/>
          <w:highlight w:val="none"/>
          <w:lang w:val="en-US" w:eastAsia="zh-CN" w:bidi="en-US"/>
        </w:rPr>
        <w:t>四</w:t>
      </w:r>
      <w:r>
        <w:rPr>
          <w:rFonts w:hint="eastAsia" w:ascii="Times New Roman" w:hAnsi="Times New Roman" w:eastAsia="宋体" w:cs="宋体"/>
          <w:b/>
          <w:kern w:val="0"/>
          <w:sz w:val="28"/>
          <w:szCs w:val="28"/>
          <w:highlight w:val="none"/>
          <w:lang w:eastAsia="zh-CN" w:bidi="en-US"/>
        </w:rPr>
        <w:t>）</w:t>
      </w:r>
      <w:r>
        <w:rPr>
          <w:rFonts w:hint="eastAsia" w:ascii="Times New Roman" w:hAnsi="Times New Roman" w:eastAsia="宋体" w:cs="宋体"/>
          <w:b/>
          <w:kern w:val="0"/>
          <w:sz w:val="28"/>
          <w:szCs w:val="28"/>
          <w:highlight w:val="none"/>
          <w:lang w:bidi="en-US"/>
        </w:rPr>
        <w:t>项目</w:t>
      </w:r>
      <w:r>
        <w:rPr>
          <w:rFonts w:hint="eastAsia" w:ascii="Times New Roman" w:hAnsi="Times New Roman" w:eastAsia="宋体" w:cs="宋体"/>
          <w:b/>
          <w:kern w:val="0"/>
          <w:sz w:val="28"/>
          <w:szCs w:val="28"/>
          <w:highlight w:val="none"/>
          <w:lang w:val="en-US" w:eastAsia="zh-CN" w:bidi="en-US"/>
        </w:rPr>
        <w:t>资金使用情况</w:t>
      </w:r>
    </w:p>
    <w:p w14:paraId="2CF3544F">
      <w:pPr>
        <w:keepNext w:val="0"/>
        <w:keepLines w:val="0"/>
        <w:pageBreakBefore w:val="0"/>
        <w:widowControl w:val="0"/>
        <w:tabs>
          <w:tab w:val="left" w:pos="6237"/>
        </w:tabs>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甘肃省人民代表大会常务委员会2023年度省人大常委会会议费项目</w:t>
      </w:r>
      <w:r>
        <w:rPr>
          <w:rFonts w:hint="eastAsia" w:ascii="Times New Roman" w:hAnsi="Times New Roman" w:eastAsia="宋体" w:cs="宋体"/>
          <w:sz w:val="28"/>
          <w:szCs w:val="28"/>
          <w:highlight w:val="none"/>
          <w:lang w:eastAsia="zh-CN"/>
        </w:rPr>
        <w:t>围绕</w:t>
      </w:r>
      <w:r>
        <w:rPr>
          <w:rFonts w:hint="eastAsia" w:ascii="Times New Roman" w:hAnsi="Times New Roman" w:eastAsia="宋体" w:cs="宋体"/>
          <w:sz w:val="28"/>
          <w:szCs w:val="28"/>
          <w:highlight w:val="none"/>
          <w:lang w:val="en-US" w:eastAsia="zh-CN"/>
        </w:rPr>
        <w:t>项目主要实施内容</w:t>
      </w:r>
      <w:r>
        <w:rPr>
          <w:rFonts w:hint="eastAsia" w:ascii="Times New Roman" w:hAnsi="Times New Roman" w:eastAsia="宋体" w:cs="宋体"/>
          <w:sz w:val="28"/>
          <w:szCs w:val="28"/>
          <w:highlight w:val="none"/>
          <w:lang w:eastAsia="zh-CN"/>
        </w:rPr>
        <w:t>使用</w:t>
      </w:r>
      <w:r>
        <w:rPr>
          <w:rFonts w:hint="eastAsia" w:ascii="Times New Roman" w:hAnsi="Times New Roman" w:eastAsia="宋体" w:cs="宋体"/>
          <w:sz w:val="28"/>
          <w:szCs w:val="28"/>
          <w:highlight w:val="none"/>
          <w:lang w:val="en-US" w:eastAsia="zh-CN"/>
        </w:rPr>
        <w:t>项目</w:t>
      </w:r>
      <w:r>
        <w:rPr>
          <w:rFonts w:hint="eastAsia" w:ascii="Times New Roman" w:hAnsi="Times New Roman" w:eastAsia="宋体" w:cs="宋体"/>
          <w:sz w:val="28"/>
          <w:szCs w:val="28"/>
          <w:highlight w:val="none"/>
          <w:lang w:eastAsia="zh-CN"/>
        </w:rPr>
        <w:t>经费，保证经费专款专用，任何单位或个人不得挤占、截留、挪用或随意扩大开支范围。认真贯彻党中央、国务院关于过紧日子的部署要求，严格执行经费管理使用各项制度规定，提高资金使用效益。</w:t>
      </w:r>
    </w:p>
    <w:p w14:paraId="67CC2938">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bidi="en-US"/>
        </w:rPr>
      </w:pPr>
      <w:r>
        <w:rPr>
          <w:rFonts w:hint="eastAsia" w:ascii="Times New Roman" w:hAnsi="Times New Roman" w:eastAsia="宋体" w:cs="宋体"/>
          <w:b/>
          <w:kern w:val="0"/>
          <w:sz w:val="28"/>
          <w:szCs w:val="28"/>
          <w:highlight w:val="none"/>
          <w:lang w:bidi="en-US"/>
        </w:rPr>
        <w:t>（</w:t>
      </w:r>
      <w:r>
        <w:rPr>
          <w:rFonts w:hint="eastAsia" w:ascii="Times New Roman" w:hAnsi="Times New Roman" w:eastAsia="宋体" w:cs="宋体"/>
          <w:b/>
          <w:kern w:val="0"/>
          <w:sz w:val="28"/>
          <w:szCs w:val="28"/>
          <w:highlight w:val="none"/>
          <w:lang w:val="en-US" w:eastAsia="zh-CN" w:bidi="en-US"/>
        </w:rPr>
        <w:t>五</w:t>
      </w:r>
      <w:r>
        <w:rPr>
          <w:rFonts w:hint="eastAsia" w:ascii="Times New Roman" w:hAnsi="Times New Roman" w:eastAsia="宋体" w:cs="宋体"/>
          <w:b/>
          <w:kern w:val="0"/>
          <w:sz w:val="28"/>
          <w:szCs w:val="28"/>
          <w:highlight w:val="none"/>
          <w:lang w:eastAsia="zh-CN" w:bidi="en-US"/>
        </w:rPr>
        <w:t>）项目具体实施情况</w:t>
      </w:r>
    </w:p>
    <w:p w14:paraId="568229E6">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甘肃省人民代表大会常务委员会在省常务会中扮演着重要的角色。作为省人民代表大会的常设机关，负责处理日常事务和监督相关工作的进行，以确保省人民代表大会行使职权的有效性和稳定性。一是保证宪法、法律、行政法规和上级人大及其常委会决议在本行政区域内的遵守和执行，以及国家计划和预算的执行。二是负责召集和主持省人民代表大会会议，并组织制定会议的议程和其他准备事项的决定。三是在省人民代表大会闭会期间，常务委员会可以行使部分职权，包括决定重大事项、监督政府工作等，以确保省级行政的不间断和高效运作。四是作为代表选举机构，负责组织和指导下一级人大代表的选举，确保民主选举的顺利进行。五是常务委员会还承担着立法职能，可以在不与宪法、法律、行政法规相抵触的前提下，根据本行政区域的实际情况，制定和颁布地方性法规，以更好地适应地方发展需求。</w:t>
      </w:r>
    </w:p>
    <w:p w14:paraId="2AA29CAB">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val="en-US" w:eastAsia="zh-CN" w:bidi="en-US"/>
        </w:rPr>
        <w:t>（六）项目财务监督检查情况</w:t>
      </w:r>
    </w:p>
    <w:p w14:paraId="22170160">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sz w:val="28"/>
          <w:szCs w:val="28"/>
          <w:highlight w:val="none"/>
          <w:lang w:val="en-US" w:eastAsia="zh-CN"/>
        </w:rPr>
      </w:pPr>
      <w:r>
        <w:rPr>
          <w:rFonts w:hint="eastAsia" w:ascii="Times New Roman" w:hAnsi="Times New Roman" w:eastAsia="宋体" w:cs="宋体"/>
          <w:sz w:val="28"/>
          <w:szCs w:val="28"/>
          <w:highlight w:val="none"/>
          <w:lang w:val="en-US" w:eastAsia="zh-CN"/>
        </w:rPr>
        <w:t>甘肃省人民代表大会常务委员会2023年度省人大常委会会议费项目经费严格执行会计记账各项要求，会计工作和会计资料真实、完整，且项目资金实行单独记账，同时，项目各级负责主管单位开展资金支出自查工作，争取做到没有反馈问题，若有反馈问题也会及时进行整改。</w:t>
      </w:r>
    </w:p>
    <w:p w14:paraId="07A0899A">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both"/>
        <w:textAlignment w:val="auto"/>
        <w:outlineLvl w:val="9"/>
        <w:rPr>
          <w:rFonts w:hint="eastAsia" w:ascii="Times New Roman" w:hAnsi="Times New Roman" w:eastAsia="宋体" w:cs="宋体"/>
          <w:b/>
          <w:kern w:val="0"/>
          <w:sz w:val="28"/>
          <w:szCs w:val="28"/>
          <w:highlight w:val="none"/>
          <w:lang w:val="en-US" w:eastAsia="zh-CN" w:bidi="en-US"/>
        </w:rPr>
      </w:pPr>
      <w:r>
        <w:rPr>
          <w:rFonts w:hint="eastAsia" w:ascii="Times New Roman" w:hAnsi="Times New Roman" w:eastAsia="宋体" w:cs="宋体"/>
          <w:b/>
          <w:kern w:val="0"/>
          <w:sz w:val="28"/>
          <w:szCs w:val="28"/>
          <w:highlight w:val="none"/>
          <w:lang w:val="en-US" w:eastAsia="zh-CN" w:bidi="en-US"/>
        </w:rPr>
        <w:t>（七）项目在2023年工作中存在的困难以及相关建议</w:t>
      </w:r>
    </w:p>
    <w:p w14:paraId="0F6126B1">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eastAsia" w:ascii="Times New Roman" w:hAnsi="Times New Roman" w:eastAsia="宋体" w:cs="宋体"/>
          <w:kern w:val="2"/>
          <w:sz w:val="28"/>
          <w:szCs w:val="28"/>
          <w:highlight w:val="none"/>
          <w:lang w:val="en-US" w:eastAsia="zh-CN" w:bidi="ar-SA"/>
        </w:rPr>
      </w:pPr>
      <w:r>
        <w:rPr>
          <w:rFonts w:hint="eastAsia" w:ascii="Times New Roman" w:hAnsi="Times New Roman" w:eastAsia="宋体" w:cs="宋体"/>
          <w:sz w:val="28"/>
          <w:szCs w:val="28"/>
          <w:highlight w:val="none"/>
          <w:lang w:val="en-US" w:eastAsia="zh-CN"/>
        </w:rPr>
        <w:t>甘肃省人民代表大会常务委员会2023年度省人大常委会会议费项目</w:t>
      </w:r>
      <w:r>
        <w:rPr>
          <w:rFonts w:hint="eastAsia" w:ascii="Times New Roman" w:hAnsi="Times New Roman" w:eastAsia="宋体" w:cs="宋体"/>
          <w:kern w:val="2"/>
          <w:sz w:val="28"/>
          <w:szCs w:val="28"/>
          <w:highlight w:val="none"/>
          <w:lang w:val="en-US" w:eastAsia="zh-CN" w:bidi="ar-SA"/>
        </w:rPr>
        <w:t>随着人大工作的不断深入和拓展，各委员会及研究室对专项经费的需求日益增加，但资金总量有限，如何在有限的资金内满足多样化的需求成为一大挑战。预算制定需要充分考虑各项目的实际需求、优先级和可行性，但在实际操作中，由于信息不对称、项目变化等因素，预算的执行往往面临一定的难度。</w:t>
      </w:r>
    </w:p>
    <w:p w14:paraId="0B39C7B7">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outlineLvl w:val="9"/>
        <w:rPr>
          <w:rFonts w:hint="default" w:ascii="Times New Roman" w:hAnsi="Times New Roman" w:eastAsia="宋体" w:cs="宋体"/>
          <w:kern w:val="2"/>
          <w:sz w:val="28"/>
          <w:szCs w:val="28"/>
          <w:highlight w:val="none"/>
          <w:lang w:val="en-US" w:eastAsia="zh-CN" w:bidi="ar-SA"/>
        </w:rPr>
      </w:pPr>
      <w:r>
        <w:rPr>
          <w:rFonts w:hint="eastAsia" w:ascii="Times New Roman" w:hAnsi="Times New Roman" w:eastAsia="宋体" w:cs="宋体"/>
          <w:kern w:val="2"/>
          <w:sz w:val="28"/>
          <w:szCs w:val="28"/>
          <w:highlight w:val="none"/>
          <w:lang w:val="en-US" w:eastAsia="zh-CN" w:bidi="ar-SA"/>
        </w:rPr>
        <w:t>针对以上困难和难点，甘肃省人民代表大会常务委员会进一步加强预算管理和执行力度，确保资金使用的规范性和有效性。完善项目管理和监督机制，提高项目管理的科学性和透明度。加强政策研究和制度建设，为专项经费项目提供有力保障。加大人才培养和引进力度，提升专业人才队伍的整体素质。加强与各方面的沟通协调，共同应对外部环境的不确定性。</w:t>
      </w:r>
    </w:p>
    <w:p w14:paraId="165071DA">
      <w:pPr>
        <w:outlineLvl w:val="9"/>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662C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EFFC6">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9E73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59E73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6ED18"/>
    <w:multiLevelType w:val="singleLevel"/>
    <w:tmpl w:val="5A96ED18"/>
    <w:lvl w:ilvl="0" w:tentative="0">
      <w:start w:val="2"/>
      <w:numFmt w:val="chineseCounting"/>
      <w:suff w:val="nothing"/>
      <w:lvlText w:val="（%1）"/>
      <w:lvlJc w:val="left"/>
      <w:rPr>
        <w:rFonts w:hint="eastAsia"/>
      </w:rPr>
    </w:lvl>
  </w:abstractNum>
  <w:abstractNum w:abstractNumId="1">
    <w:nsid w:val="617BF8E8"/>
    <w:multiLevelType w:val="singleLevel"/>
    <w:tmpl w:val="617BF8E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OTc1ZDIzMWEwNGMwYjhjYzEwNzc2NjA1YTc4OWQifQ=="/>
  </w:docVars>
  <w:rsids>
    <w:rsidRoot w:val="00000000"/>
    <w:rsid w:val="03137998"/>
    <w:rsid w:val="04867F4A"/>
    <w:rsid w:val="04D37995"/>
    <w:rsid w:val="07103C87"/>
    <w:rsid w:val="077B7867"/>
    <w:rsid w:val="07F71601"/>
    <w:rsid w:val="14541C3A"/>
    <w:rsid w:val="18921212"/>
    <w:rsid w:val="19DF12AE"/>
    <w:rsid w:val="1A4376F8"/>
    <w:rsid w:val="1B9425B7"/>
    <w:rsid w:val="23A4392B"/>
    <w:rsid w:val="24AE596F"/>
    <w:rsid w:val="29FE3D88"/>
    <w:rsid w:val="2B7C68CA"/>
    <w:rsid w:val="2BE344C3"/>
    <w:rsid w:val="2CE57D59"/>
    <w:rsid w:val="305607DF"/>
    <w:rsid w:val="30BA38B9"/>
    <w:rsid w:val="33085594"/>
    <w:rsid w:val="39CB4271"/>
    <w:rsid w:val="3A3C5F9B"/>
    <w:rsid w:val="3EF00DC6"/>
    <w:rsid w:val="418F2744"/>
    <w:rsid w:val="447E4883"/>
    <w:rsid w:val="4526342B"/>
    <w:rsid w:val="479D431B"/>
    <w:rsid w:val="4CA36E49"/>
    <w:rsid w:val="4CD97C96"/>
    <w:rsid w:val="4DC957E1"/>
    <w:rsid w:val="4F2323BE"/>
    <w:rsid w:val="52DA7D87"/>
    <w:rsid w:val="53E44857"/>
    <w:rsid w:val="54640C31"/>
    <w:rsid w:val="584E001C"/>
    <w:rsid w:val="5EA21320"/>
    <w:rsid w:val="61011F9E"/>
    <w:rsid w:val="610726FE"/>
    <w:rsid w:val="61E86794"/>
    <w:rsid w:val="67070582"/>
    <w:rsid w:val="67B4474D"/>
    <w:rsid w:val="6BE41C07"/>
    <w:rsid w:val="6F193C30"/>
    <w:rsid w:val="6F822FE2"/>
    <w:rsid w:val="7040034C"/>
    <w:rsid w:val="72BF7C4E"/>
    <w:rsid w:val="78502EB4"/>
    <w:rsid w:val="78BB0EB8"/>
    <w:rsid w:val="7BDE4E8C"/>
    <w:rsid w:val="7DEC7BD3"/>
    <w:rsid w:val="7F5E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ind w:firstLine="880"/>
      <w:outlineLvl w:val="1"/>
    </w:pPr>
    <w:rPr>
      <w:rFonts w:ascii="Arial" w:hAnsi="Arial" w:eastAsia="楷体"/>
      <w:b/>
    </w:rPr>
  </w:style>
  <w:style w:type="paragraph" w:styleId="3">
    <w:name w:val="heading 6"/>
    <w:basedOn w:val="1"/>
    <w:next w:val="1"/>
    <w:unhideWhenUsed/>
    <w:qFormat/>
    <w:uiPriority w:val="0"/>
    <w:pPr>
      <w:spacing w:beforeAutospacing="1" w:afterAutospacing="1"/>
      <w:jc w:val="left"/>
      <w:outlineLvl w:val="5"/>
    </w:pPr>
    <w:rPr>
      <w:rFonts w:hint="eastAsia" w:ascii="宋体" w:hAnsi="宋体" w:cs="宋体"/>
      <w:b/>
      <w:kern w:val="0"/>
      <w:sz w:val="15"/>
      <w:szCs w:val="15"/>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caption"/>
    <w:basedOn w:val="1"/>
    <w:next w:val="1"/>
    <w:unhideWhenUsed/>
    <w:qFormat/>
    <w:uiPriority w:val="0"/>
    <w:pPr>
      <w:widowControl w:val="0"/>
      <w:jc w:val="both"/>
    </w:pPr>
    <w:rPr>
      <w:rFonts w:ascii="Cambria" w:hAnsi="Cambria" w:eastAsia="黑体" w:cstheme="minorBidi"/>
      <w:kern w:val="2"/>
      <w:sz w:val="20"/>
      <w:szCs w:val="22"/>
      <w:lang w:val="en-US" w:eastAsia="zh-CN" w:bidi="ar-SA"/>
    </w:rPr>
  </w:style>
  <w:style w:type="paragraph" w:styleId="5">
    <w:name w:val="Body Text"/>
    <w:basedOn w:val="1"/>
    <w:next w:val="1"/>
    <w:qFormat/>
    <w:uiPriority w:val="0"/>
    <w:pPr>
      <w:spacing w:after="120"/>
    </w:pPr>
  </w:style>
  <w:style w:type="paragraph" w:styleId="6">
    <w:name w:val="Body Text Indent"/>
    <w:basedOn w:val="1"/>
    <w:qFormat/>
    <w:uiPriority w:val="0"/>
    <w:pPr>
      <w:widowControl w:val="0"/>
      <w:spacing w:after="120" w:afterLines="0"/>
      <w:ind w:left="420" w:leftChars="200"/>
      <w:jc w:val="both"/>
    </w:pPr>
    <w:rPr>
      <w:rFonts w:ascii="Times New Roman" w:hAnsi="Times New Roman" w:eastAsia="宋体" w:cs="Times New Roman"/>
      <w:kern w:val="2"/>
      <w:sz w:val="21"/>
      <w:lang w:val="en-US" w:eastAsia="zh-CN" w:bidi="ar-SA"/>
    </w:rPr>
  </w:style>
  <w:style w:type="paragraph" w:styleId="7">
    <w:name w:val="footer"/>
    <w:basedOn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2"/>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6"/>
    <w:qFormat/>
    <w:uiPriority w:val="0"/>
    <w:pPr>
      <w:widowControl w:val="0"/>
      <w:spacing w:after="120" w:afterLines="0"/>
      <w:ind w:left="200" w:leftChars="200" w:firstLine="420" w:firstLineChars="200"/>
      <w:jc w:val="both"/>
    </w:pPr>
    <w:rPr>
      <w:rFonts w:ascii="Times New Roman" w:hAnsi="Times New Roman" w:eastAsia="宋体" w:cs="Times New Roman"/>
      <w:kern w:val="2"/>
      <w:sz w:val="21"/>
      <w:lang w:val="en-US" w:eastAsia="zh-CN" w:bidi="ar-SA"/>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21"/>
    <w:basedOn w:val="15"/>
    <w:qFormat/>
    <w:uiPriority w:val="0"/>
    <w:rPr>
      <w:rFonts w:hint="default" w:ascii="仿宋_GB2312" w:eastAsia="仿宋_GB2312" w:cs="仿宋_GB2312"/>
      <w:color w:val="000000"/>
      <w:sz w:val="24"/>
      <w:szCs w:val="24"/>
      <w:u w:val="none"/>
    </w:rPr>
  </w:style>
  <w:style w:type="paragraph" w:customStyle="1" w:styleId="17">
    <w:name w:val="WPSOffice手动目录 1"/>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120336943441637"/>
          <c:y val="0.254552652414885"/>
          <c:w val="0.94705174488568"/>
          <c:h val="0.663578780680918"/>
        </c:manualLayout>
      </c:layout>
      <c:barChart>
        <c:barDir val="col"/>
        <c:grouping val="clustered"/>
        <c:varyColors val="0"/>
        <c:ser>
          <c:idx val="0"/>
          <c:order val="0"/>
          <c:tx>
            <c:strRef>
              <c:f>Sheet1!$B$1</c:f>
              <c:strCache>
                <c:ptCount val="1"/>
                <c:pt idx="0">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男</c:v>
                </c:pt>
                <c:pt idx="1">
                  <c:v>女</c:v>
                </c:pt>
                <c:pt idx="2">
                  <c:v>汉族</c:v>
                </c:pt>
                <c:pt idx="3">
                  <c:v>少数民族</c:v>
                </c:pt>
              </c:strCache>
            </c:strRef>
          </c:cat>
          <c:val>
            <c:numRef>
              <c:f>Sheet1!$B$2:$B$5</c:f>
              <c:numCache>
                <c:formatCode>General</c:formatCode>
                <c:ptCount val="4"/>
                <c:pt idx="0">
                  <c:v>43</c:v>
                </c:pt>
                <c:pt idx="1">
                  <c:v>7</c:v>
                </c:pt>
                <c:pt idx="2">
                  <c:v>46</c:v>
                </c:pt>
                <c:pt idx="3">
                  <c:v>4</c:v>
                </c:pt>
              </c:numCache>
            </c:numRef>
          </c:val>
        </c:ser>
        <c:dLbls>
          <c:showLegendKey val="0"/>
          <c:showVal val="1"/>
          <c:showCatName val="0"/>
          <c:showSerName val="0"/>
          <c:showPercent val="0"/>
          <c:showBubbleSize val="0"/>
        </c:dLbls>
        <c:gapWidth val="100"/>
        <c:overlap val="-24"/>
        <c:axId val="818939851"/>
        <c:axId val="456806273"/>
      </c:barChart>
      <c:catAx>
        <c:axId val="8189398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56806273"/>
        <c:crosses val="autoZero"/>
        <c:auto val="1"/>
        <c:lblAlgn val="ctr"/>
        <c:lblOffset val="100"/>
        <c:noMultiLvlLbl val="0"/>
      </c:catAx>
      <c:valAx>
        <c:axId val="4568062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1893985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职工满意度</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998541842542902"/>
                  <c:y val="0.014695536529225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1456433590059"/>
                  <c:y val="-0.001958904109418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41173507902769"/>
                  <c:y val="0.0042295188088925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基本满意</c:v>
                </c:pt>
                <c:pt idx="3">
                  <c:v>不太满意</c:v>
                </c:pt>
                <c:pt idx="4">
                  <c:v>非常不满意</c:v>
                </c:pt>
              </c:strCache>
            </c:strRef>
          </c:cat>
          <c:val>
            <c:numRef>
              <c:f>Sheet1!$B$2:$B$6</c:f>
              <c:numCache>
                <c:formatCode>0.00%</c:formatCode>
                <c:ptCount val="5"/>
                <c:pt idx="0">
                  <c:v>0.832</c:v>
                </c:pt>
                <c:pt idx="1">
                  <c:v>0.088</c:v>
                </c:pt>
                <c:pt idx="2">
                  <c:v>0.066</c:v>
                </c:pt>
                <c:pt idx="3">
                  <c:v>0.014</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男</c:v>
                </c:pt>
                <c:pt idx="1">
                  <c:v>女</c:v>
                </c:pt>
                <c:pt idx="2">
                  <c:v>1-2年（含两年）</c:v>
                </c:pt>
                <c:pt idx="3">
                  <c:v>2-5年（含5年）</c:v>
                </c:pt>
                <c:pt idx="4">
                  <c:v>5年以上</c:v>
                </c:pt>
              </c:strCache>
            </c:strRef>
          </c:cat>
          <c:val>
            <c:numRef>
              <c:f>Sheet1!$B$2:$B$6</c:f>
              <c:numCache>
                <c:formatCode>General</c:formatCode>
                <c:ptCount val="5"/>
                <c:pt idx="0">
                  <c:v>43</c:v>
                </c:pt>
                <c:pt idx="1">
                  <c:v>7</c:v>
                </c:pt>
                <c:pt idx="2">
                  <c:v>6</c:v>
                </c:pt>
                <c:pt idx="3">
                  <c:v>22</c:v>
                </c:pt>
                <c:pt idx="4">
                  <c:v>12</c:v>
                </c:pt>
              </c:numCache>
            </c:numRef>
          </c:val>
        </c:ser>
        <c:dLbls>
          <c:showLegendKey val="0"/>
          <c:showVal val="1"/>
          <c:showCatName val="0"/>
          <c:showSerName val="0"/>
          <c:showPercent val="0"/>
          <c:showBubbleSize val="0"/>
        </c:dLbls>
        <c:gapWidth val="100"/>
        <c:overlap val="-24"/>
        <c:axId val="818939851"/>
        <c:axId val="456806273"/>
      </c:barChart>
      <c:catAx>
        <c:axId val="81893985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456806273"/>
        <c:crosses val="autoZero"/>
        <c:auto val="1"/>
        <c:lblAlgn val="ctr"/>
        <c:lblOffset val="100"/>
        <c:noMultiLvlLbl val="0"/>
      </c:catAx>
      <c:valAx>
        <c:axId val="4568062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18939851"/>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layout>
                <c:manualLayout>
                  <c:x val="-0.0698472030844692"/>
                  <c:y val="-0.0075607892152634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5629167184469"/>
                  <c:y val="-0.003040942724686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20592648105877"/>
                  <c:y val="0.01874180975691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基本满意</c:v>
                </c:pt>
                <c:pt idx="3">
                  <c:v>不太满意</c:v>
                </c:pt>
                <c:pt idx="4">
                  <c:v>非常不满意</c:v>
                </c:pt>
              </c:strCache>
            </c:strRef>
          </c:cat>
          <c:val>
            <c:numRef>
              <c:f>Sheet1!$B$2:$B$6</c:f>
              <c:numCache>
                <c:formatCode>0.00%</c:formatCode>
                <c:ptCount val="5"/>
                <c:pt idx="0">
                  <c:v>0.8223</c:v>
                </c:pt>
                <c:pt idx="1">
                  <c:v>0.1123</c:v>
                </c:pt>
                <c:pt idx="2">
                  <c:v>0.0534</c:v>
                </c:pt>
                <c:pt idx="3">
                  <c:v>0.012</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32533</Words>
  <Characters>34498</Characters>
  <Lines>0</Lines>
  <Paragraphs>0</Paragraphs>
  <TotalTime>0</TotalTime>
  <ScaleCrop>false</ScaleCrop>
  <LinksUpToDate>false</LinksUpToDate>
  <CharactersWithSpaces>34935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2024-08-24T10:52:00Z</dcterms:created>
  <dc:creator>Fanky</dc:creator>
  <cp:lastModifiedBy>黄梅</cp:lastModifiedBy>
  <dcterms:modified xsi:type="dcterms:W3CDTF">2024-08-28T06:32:39Z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16F9456CEBF849F28D781196BBA7B511_12</vt:lpwstr>
  </property>
</Properties>
</file>